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E24A" w14:textId="77777777" w:rsidR="00EC7A4D" w:rsidRDefault="00EC7A4D" w:rsidP="00256C98">
      <w:pPr>
        <w:spacing w:line="360" w:lineRule="auto"/>
        <w:jc w:val="center"/>
        <w:rPr>
          <w:rFonts w:ascii="Calibri" w:hAnsi="Calibri" w:cs="Times New Roman"/>
          <w:b/>
          <w:color w:val="1F3864" w:themeColor="accent1" w:themeShade="80"/>
          <w:sz w:val="28"/>
          <w:szCs w:val="28"/>
        </w:rPr>
      </w:pPr>
    </w:p>
    <w:p w14:paraId="4BD14D02" w14:textId="11C9958C" w:rsidR="00256C98" w:rsidRPr="001D483B" w:rsidRDefault="00256C98" w:rsidP="00256C98">
      <w:pPr>
        <w:spacing w:line="360" w:lineRule="auto"/>
        <w:jc w:val="center"/>
        <w:rPr>
          <w:rFonts w:ascii="Calibri" w:hAnsi="Calibri" w:cs="Times New Roman"/>
          <w:b/>
          <w:color w:val="1F3864" w:themeColor="accent1" w:themeShade="80"/>
          <w:sz w:val="28"/>
          <w:szCs w:val="28"/>
          <w:lang w:val="ro-RO"/>
        </w:rPr>
      </w:pPr>
      <w:r w:rsidRPr="001D483B">
        <w:rPr>
          <w:rFonts w:ascii="Calibri" w:hAnsi="Calibri" w:cs="Times New Roman"/>
          <w:b/>
          <w:color w:val="1F3864" w:themeColor="accent1" w:themeShade="80"/>
          <w:sz w:val="28"/>
          <w:szCs w:val="28"/>
        </w:rPr>
        <w:t>COMUNICAT DE PRES</w:t>
      </w:r>
      <w:r w:rsidRPr="001D483B">
        <w:rPr>
          <w:rFonts w:ascii="Calibri" w:hAnsi="Calibri" w:cs="Times New Roman"/>
          <w:b/>
          <w:color w:val="1F3864" w:themeColor="accent1" w:themeShade="80"/>
          <w:sz w:val="28"/>
          <w:szCs w:val="28"/>
          <w:lang w:val="ro-RO"/>
        </w:rPr>
        <w:t>Ă</w:t>
      </w:r>
    </w:p>
    <w:p w14:paraId="378416BA" w14:textId="50F422B7" w:rsidR="00256C98" w:rsidRPr="004A33C0" w:rsidRDefault="005C2455" w:rsidP="00256C98">
      <w:pPr>
        <w:spacing w:line="360" w:lineRule="auto"/>
        <w:jc w:val="center"/>
        <w:rPr>
          <w:rFonts w:cs="Times New Roman"/>
          <w:b/>
          <w:color w:val="1F3864" w:themeColor="accent1" w:themeShade="80"/>
          <w:sz w:val="24"/>
          <w:szCs w:val="24"/>
          <w:lang w:val="ro-RO"/>
        </w:rPr>
      </w:pPr>
      <w:r>
        <w:rPr>
          <w:rFonts w:cs="Times New Roman"/>
          <w:b/>
          <w:color w:val="1F3864" w:themeColor="accent1" w:themeShade="80"/>
          <w:sz w:val="24"/>
          <w:szCs w:val="24"/>
          <w:lang w:val="ro-RO"/>
        </w:rPr>
        <w:t>„</w:t>
      </w:r>
      <w:r w:rsidR="00256C98" w:rsidRPr="004A33C0">
        <w:rPr>
          <w:rFonts w:cs="Times New Roman"/>
          <w:b/>
          <w:color w:val="1F3864" w:themeColor="accent1" w:themeShade="80"/>
          <w:sz w:val="24"/>
          <w:szCs w:val="24"/>
          <w:lang w:val="ro-RO"/>
        </w:rPr>
        <w:t>PNRR: Fonduri pentru România modernă și reformată!”</w:t>
      </w:r>
    </w:p>
    <w:p w14:paraId="56848322" w14:textId="24B4809C" w:rsidR="00BF20E9" w:rsidRDefault="00256C98" w:rsidP="00256C98">
      <w:pPr>
        <w:jc w:val="center"/>
        <w:rPr>
          <w:rFonts w:cs="Times New Roman"/>
          <w:b/>
          <w:color w:val="1F3864" w:themeColor="accent1" w:themeShade="80"/>
          <w:sz w:val="24"/>
          <w:szCs w:val="24"/>
          <w:lang w:val="ro-RO"/>
        </w:rPr>
      </w:pPr>
      <w:r w:rsidRPr="004A33C0">
        <w:rPr>
          <w:rFonts w:cs="Times New Roman"/>
          <w:b/>
          <w:color w:val="1F3864" w:themeColor="accent1" w:themeShade="80"/>
          <w:sz w:val="24"/>
          <w:szCs w:val="24"/>
          <w:lang w:val="ro-RO"/>
        </w:rPr>
        <w:t>Informare privind proiectul</w:t>
      </w:r>
      <w:r>
        <w:rPr>
          <w:rFonts w:cs="Times New Roman"/>
          <w:b/>
          <w:color w:val="1F3864" w:themeColor="accent1" w:themeShade="80"/>
          <w:sz w:val="24"/>
          <w:szCs w:val="24"/>
          <w:lang w:val="ro-RO"/>
        </w:rPr>
        <w:t xml:space="preserve"> </w:t>
      </w:r>
      <w:r w:rsidR="005C2455">
        <w:rPr>
          <w:rFonts w:cs="Times New Roman"/>
          <w:b/>
          <w:color w:val="1F3864" w:themeColor="accent1" w:themeShade="80"/>
          <w:sz w:val="24"/>
          <w:szCs w:val="24"/>
          <w:lang w:val="ro-RO"/>
        </w:rPr>
        <w:t>„</w:t>
      </w:r>
      <w:r w:rsidRPr="00256C98">
        <w:rPr>
          <w:rFonts w:cs="Times New Roman"/>
          <w:b/>
          <w:color w:val="1F3864" w:themeColor="accent1" w:themeShade="80"/>
          <w:sz w:val="24"/>
          <w:szCs w:val="24"/>
          <w:lang w:val="ro-RO"/>
        </w:rPr>
        <w:t xml:space="preserve">Dotarea Centrului de servicii de recuperare </w:t>
      </w:r>
      <w:proofErr w:type="spellStart"/>
      <w:r w:rsidRPr="00256C98">
        <w:rPr>
          <w:rFonts w:cs="Times New Roman"/>
          <w:b/>
          <w:color w:val="1F3864" w:themeColor="accent1" w:themeShade="80"/>
          <w:sz w:val="24"/>
          <w:szCs w:val="24"/>
          <w:lang w:val="ro-RO"/>
        </w:rPr>
        <w:t>neuromotorie</w:t>
      </w:r>
      <w:proofErr w:type="spellEnd"/>
      <w:r w:rsidRPr="00256C98">
        <w:rPr>
          <w:rFonts w:cs="Times New Roman"/>
          <w:b/>
          <w:color w:val="1F3864" w:themeColor="accent1" w:themeShade="80"/>
          <w:sz w:val="24"/>
          <w:szCs w:val="24"/>
          <w:lang w:val="ro-RO"/>
        </w:rPr>
        <w:t xml:space="preserve"> de tip ambulatoriu pentru persoane adulte cu dizabilități Odorheiu Secuiesc”</w:t>
      </w:r>
    </w:p>
    <w:p w14:paraId="4E7AF257" w14:textId="77777777" w:rsidR="00256C98" w:rsidRDefault="00256C98" w:rsidP="00256C98">
      <w:pPr>
        <w:spacing w:after="0"/>
        <w:jc w:val="center"/>
        <w:rPr>
          <w:rFonts w:cs="Times New Roman"/>
          <w:b/>
          <w:color w:val="1F3864" w:themeColor="accent1" w:themeShade="80"/>
          <w:sz w:val="24"/>
          <w:szCs w:val="24"/>
          <w:lang w:val="ro-RO"/>
        </w:rPr>
      </w:pPr>
    </w:p>
    <w:p w14:paraId="3BDC866C" w14:textId="547E3BF0" w:rsidR="00256C98" w:rsidRPr="00EC7A4D" w:rsidRDefault="00256C98" w:rsidP="00256C98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proofErr w:type="spellStart"/>
      <w:r w:rsidRPr="00EC7A4D">
        <w:rPr>
          <w:color w:val="000000"/>
        </w:rPr>
        <w:t>Direcția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Generală</w:t>
      </w:r>
      <w:proofErr w:type="spellEnd"/>
      <w:r w:rsidRPr="00EC7A4D">
        <w:rPr>
          <w:color w:val="000000"/>
        </w:rPr>
        <w:t xml:space="preserve"> de </w:t>
      </w:r>
      <w:proofErr w:type="spellStart"/>
      <w:r w:rsidRPr="00EC7A4D">
        <w:rPr>
          <w:color w:val="000000"/>
        </w:rPr>
        <w:t>Asistență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Socială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și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Protecția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Copilului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Harghita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implementează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proiectul</w:t>
      </w:r>
      <w:proofErr w:type="spellEnd"/>
      <w:r w:rsidRPr="00EC7A4D">
        <w:rPr>
          <w:color w:val="000000"/>
        </w:rPr>
        <w:t xml:space="preserve"> </w:t>
      </w:r>
      <w:r w:rsidR="005C2455">
        <w:rPr>
          <w:b/>
          <w:color w:val="000000"/>
        </w:rPr>
        <w:t>„</w:t>
      </w:r>
      <w:proofErr w:type="spellStart"/>
      <w:r w:rsidRPr="00EC7A4D">
        <w:rPr>
          <w:b/>
          <w:color w:val="000000"/>
        </w:rPr>
        <w:t>Dotarea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Centrului</w:t>
      </w:r>
      <w:proofErr w:type="spellEnd"/>
      <w:r w:rsidRPr="00EC7A4D">
        <w:rPr>
          <w:b/>
          <w:color w:val="000000"/>
        </w:rPr>
        <w:t xml:space="preserve"> de </w:t>
      </w:r>
      <w:proofErr w:type="spellStart"/>
      <w:r w:rsidRPr="00EC7A4D">
        <w:rPr>
          <w:b/>
          <w:color w:val="000000"/>
        </w:rPr>
        <w:t>servicii</w:t>
      </w:r>
      <w:proofErr w:type="spellEnd"/>
      <w:r w:rsidRPr="00EC7A4D">
        <w:rPr>
          <w:b/>
          <w:color w:val="000000"/>
        </w:rPr>
        <w:t xml:space="preserve"> de </w:t>
      </w:r>
      <w:proofErr w:type="spellStart"/>
      <w:r w:rsidRPr="00EC7A4D">
        <w:rPr>
          <w:b/>
          <w:color w:val="000000"/>
        </w:rPr>
        <w:t>recuperare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neuromotorie</w:t>
      </w:r>
      <w:proofErr w:type="spellEnd"/>
      <w:r w:rsidRPr="00EC7A4D">
        <w:rPr>
          <w:b/>
          <w:color w:val="000000"/>
        </w:rPr>
        <w:t xml:space="preserve"> de </w:t>
      </w:r>
      <w:proofErr w:type="spellStart"/>
      <w:r w:rsidRPr="00EC7A4D">
        <w:rPr>
          <w:b/>
          <w:color w:val="000000"/>
        </w:rPr>
        <w:t>tip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ambulatoriu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pentru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persoane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adulte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cu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dizabilități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Odorheiu</w:t>
      </w:r>
      <w:proofErr w:type="spellEnd"/>
      <w:r w:rsidRPr="00EC7A4D">
        <w:rPr>
          <w:b/>
          <w:color w:val="000000"/>
        </w:rPr>
        <w:t xml:space="preserve"> </w:t>
      </w:r>
      <w:proofErr w:type="spellStart"/>
      <w:r w:rsidRPr="00EC7A4D">
        <w:rPr>
          <w:b/>
          <w:color w:val="000000"/>
        </w:rPr>
        <w:t>Secuiesc</w:t>
      </w:r>
      <w:proofErr w:type="spellEnd"/>
      <w:r w:rsidRPr="00EC7A4D">
        <w:rPr>
          <w:b/>
          <w:color w:val="000000"/>
        </w:rPr>
        <w:t>"</w:t>
      </w:r>
      <w:r w:rsidRPr="00EC7A4D">
        <w:rPr>
          <w:color w:val="000000"/>
        </w:rPr>
        <w:t xml:space="preserve">. </w:t>
      </w:r>
    </w:p>
    <w:p w14:paraId="3DC7A63E" w14:textId="3ED6A358" w:rsidR="00B34104" w:rsidRPr="00EC7A4D" w:rsidRDefault="00256C98" w:rsidP="00B34104">
      <w:pPr>
        <w:spacing w:line="276" w:lineRule="auto"/>
        <w:jc w:val="both"/>
        <w:rPr>
          <w:color w:val="7030A0"/>
          <w:lang w:val="ro-RO"/>
        </w:rPr>
      </w:pPr>
      <w:r w:rsidRPr="00EC7A4D">
        <w:rPr>
          <w:color w:val="000000"/>
        </w:rPr>
        <w:tab/>
      </w:r>
      <w:proofErr w:type="spellStart"/>
      <w:r w:rsidR="00B34104" w:rsidRPr="00EC7A4D">
        <w:rPr>
          <w:color w:val="000000"/>
        </w:rPr>
        <w:t>Scopul</w:t>
      </w:r>
      <w:proofErr w:type="spellEnd"/>
      <w:r w:rsidR="00B34104" w:rsidRPr="00EC7A4D">
        <w:rPr>
          <w:color w:val="000000"/>
        </w:rPr>
        <w:t xml:space="preserve"> </w:t>
      </w:r>
      <w:proofErr w:type="spellStart"/>
      <w:r w:rsidR="00B34104" w:rsidRPr="00EC7A4D">
        <w:rPr>
          <w:color w:val="000000"/>
        </w:rPr>
        <w:t>proiectului</w:t>
      </w:r>
      <w:proofErr w:type="spellEnd"/>
      <w:r w:rsidR="00B34104" w:rsidRPr="00EC7A4D">
        <w:rPr>
          <w:color w:val="000000"/>
        </w:rPr>
        <w:t xml:space="preserve"> este </w:t>
      </w:r>
      <w:r w:rsidR="00B34104" w:rsidRPr="00EC7A4D">
        <w:rPr>
          <w:color w:val="000000"/>
          <w:lang w:val="ro-RO"/>
        </w:rPr>
        <w:t>asigurarea condițiilor necesare acordării serviciilor prin ridicarea standardelor de calitate a serviciilor de recuperare de tip ambulatoriu oferite persoanelor adulte cu dizabilități.</w:t>
      </w:r>
      <w:r w:rsidR="00B34104" w:rsidRPr="00EC7A4D">
        <w:rPr>
          <w:rFonts w:ascii="Arial" w:eastAsia="Arial" w:hAnsi="Arial" w:cs="Arial"/>
          <w:highlight w:val="white"/>
          <w:lang w:val="ro-RO" w:eastAsia="ro-RO"/>
        </w:rPr>
        <w:t xml:space="preserve"> </w:t>
      </w:r>
    </w:p>
    <w:p w14:paraId="52218F82" w14:textId="7ADFFEED" w:rsidR="00575A16" w:rsidRPr="00575A16" w:rsidRDefault="00575A16" w:rsidP="00575A16">
      <w:pPr>
        <w:spacing w:line="276" w:lineRule="auto"/>
        <w:jc w:val="both"/>
        <w:rPr>
          <w:color w:val="000000"/>
          <w:lang w:val="ro-RO"/>
        </w:rPr>
      </w:pPr>
      <w:r w:rsidRPr="00EC7A4D">
        <w:tab/>
      </w:r>
      <w:r w:rsidRPr="00575A16">
        <w:rPr>
          <w:color w:val="000000"/>
          <w:lang w:val="ro-RO"/>
        </w:rPr>
        <w:t xml:space="preserve">Prin dotarea serviciului social vor fi acordate servicii de calitate și vor fi îndeplinite standardele minime obligatorii de calitate. Persoanele cu dizabilități vor veni într-un centru modernizat și vor beneficia de servicii de informare și consiliere, abilitare și reabilitare, terapii de recuperare cu aparatură modernă pentru menținerea și/sau recuperarea nivelului de funcționare a persoanei cât mai mult posibil. Astfel, se vor </w:t>
      </w:r>
      <w:proofErr w:type="spellStart"/>
      <w:r w:rsidRPr="00575A16">
        <w:rPr>
          <w:color w:val="000000"/>
          <w:lang w:val="ro-RO"/>
        </w:rPr>
        <w:t>îmbunătăţi</w:t>
      </w:r>
      <w:proofErr w:type="spellEnd"/>
      <w:r w:rsidRPr="00575A16">
        <w:rPr>
          <w:color w:val="000000"/>
          <w:lang w:val="ro-RO"/>
        </w:rPr>
        <w:t xml:space="preserve"> </w:t>
      </w:r>
      <w:proofErr w:type="spellStart"/>
      <w:r w:rsidRPr="00575A16">
        <w:rPr>
          <w:color w:val="000000"/>
          <w:lang w:val="ro-RO"/>
        </w:rPr>
        <w:t>abilităţile</w:t>
      </w:r>
      <w:proofErr w:type="spellEnd"/>
      <w:r w:rsidRPr="00575A16">
        <w:rPr>
          <w:color w:val="000000"/>
          <w:lang w:val="ro-RO"/>
        </w:rPr>
        <w:t xml:space="preserve"> </w:t>
      </w:r>
      <w:proofErr w:type="spellStart"/>
      <w:r w:rsidRPr="00575A16">
        <w:rPr>
          <w:color w:val="000000"/>
          <w:lang w:val="ro-RO"/>
        </w:rPr>
        <w:t>şi</w:t>
      </w:r>
      <w:proofErr w:type="spellEnd"/>
      <w:r w:rsidRPr="00575A16">
        <w:rPr>
          <w:color w:val="000000"/>
          <w:lang w:val="ro-RO"/>
        </w:rPr>
        <w:t xml:space="preserve"> capacitatea acestora de a participa activ pe </w:t>
      </w:r>
      <w:proofErr w:type="spellStart"/>
      <w:r w:rsidRPr="00575A16">
        <w:rPr>
          <w:color w:val="000000"/>
          <w:lang w:val="ro-RO"/>
        </w:rPr>
        <w:t>piaţa</w:t>
      </w:r>
      <w:proofErr w:type="spellEnd"/>
      <w:r w:rsidRPr="00575A16">
        <w:rPr>
          <w:color w:val="000000"/>
          <w:lang w:val="ro-RO"/>
        </w:rPr>
        <w:t xml:space="preserve"> </w:t>
      </w:r>
      <w:proofErr w:type="spellStart"/>
      <w:r w:rsidRPr="00575A16">
        <w:rPr>
          <w:color w:val="000000"/>
          <w:lang w:val="ro-RO"/>
        </w:rPr>
        <w:t>forţei</w:t>
      </w:r>
      <w:proofErr w:type="spellEnd"/>
      <w:r w:rsidRPr="00575A16">
        <w:rPr>
          <w:color w:val="000000"/>
          <w:lang w:val="ro-RO"/>
        </w:rPr>
        <w:t xml:space="preserve"> de muncă </w:t>
      </w:r>
      <w:proofErr w:type="spellStart"/>
      <w:r w:rsidRPr="00575A16">
        <w:rPr>
          <w:color w:val="000000"/>
          <w:lang w:val="ro-RO"/>
        </w:rPr>
        <w:t>şi</w:t>
      </w:r>
      <w:proofErr w:type="spellEnd"/>
      <w:r w:rsidRPr="00575A16">
        <w:rPr>
          <w:color w:val="000000"/>
          <w:lang w:val="ro-RO"/>
        </w:rPr>
        <w:t xml:space="preserve"> la </w:t>
      </w:r>
      <w:proofErr w:type="spellStart"/>
      <w:r w:rsidRPr="00575A16">
        <w:rPr>
          <w:color w:val="000000"/>
          <w:lang w:val="ro-RO"/>
        </w:rPr>
        <w:t>viaţa</w:t>
      </w:r>
      <w:proofErr w:type="spellEnd"/>
      <w:r w:rsidRPr="00575A16">
        <w:rPr>
          <w:color w:val="000000"/>
          <w:lang w:val="ro-RO"/>
        </w:rPr>
        <w:t xml:space="preserve"> socială.</w:t>
      </w:r>
    </w:p>
    <w:p w14:paraId="01CA65F2" w14:textId="77777777" w:rsidR="00575A16" w:rsidRPr="00EC7A4D" w:rsidRDefault="00575A16" w:rsidP="00B34104">
      <w:pPr>
        <w:spacing w:line="276" w:lineRule="auto"/>
        <w:jc w:val="both"/>
        <w:rPr>
          <w:color w:val="000000"/>
          <w:lang w:val="ro-RO"/>
        </w:rPr>
      </w:pPr>
      <w:r w:rsidRPr="00EC7A4D">
        <w:tab/>
      </w:r>
      <w:r w:rsidRPr="00EC7A4D">
        <w:rPr>
          <w:color w:val="000000"/>
          <w:lang w:val="ro-RO"/>
        </w:rPr>
        <w:t>Achiziționarea mijlocului de transport va face accesibil furnizarea serviciilor în comunități marginalizate unde persoane cu dizabilități sunt în imposibilitatea de a se deplasa la sediul serviciului social în lipsa mijlocului de transport.</w:t>
      </w:r>
    </w:p>
    <w:p w14:paraId="0C722F9A" w14:textId="4CB5A0D2" w:rsidR="00B34104" w:rsidRPr="00EC7A4D" w:rsidRDefault="00575A16" w:rsidP="00B34104">
      <w:pPr>
        <w:spacing w:line="276" w:lineRule="auto"/>
        <w:jc w:val="both"/>
      </w:pPr>
      <w:r w:rsidRPr="00EC7A4D">
        <w:rPr>
          <w:color w:val="000000"/>
          <w:lang w:val="ro-RO"/>
        </w:rPr>
        <w:tab/>
      </w:r>
      <w:proofErr w:type="spellStart"/>
      <w:r w:rsidRPr="00575A16">
        <w:t>Obiectivul</w:t>
      </w:r>
      <w:proofErr w:type="spellEnd"/>
      <w:r w:rsidRPr="00575A16">
        <w:t xml:space="preserve"> </w:t>
      </w:r>
      <w:proofErr w:type="spellStart"/>
      <w:r w:rsidRPr="00575A16">
        <w:t>general</w:t>
      </w:r>
      <w:proofErr w:type="spellEnd"/>
      <w:r w:rsidRPr="00575A16">
        <w:t xml:space="preserve"> </w:t>
      </w:r>
      <w:proofErr w:type="spellStart"/>
      <w:r w:rsidRPr="00575A16">
        <w:t>al</w:t>
      </w:r>
      <w:proofErr w:type="spellEnd"/>
      <w:r w:rsidRPr="00575A16">
        <w:t xml:space="preserve"> </w:t>
      </w:r>
      <w:proofErr w:type="spellStart"/>
      <w:r w:rsidRPr="00575A16">
        <w:t>proiectului</w:t>
      </w:r>
      <w:proofErr w:type="spellEnd"/>
      <w:r w:rsidRPr="00575A16">
        <w:t xml:space="preserve"> este de a </w:t>
      </w:r>
      <w:proofErr w:type="spellStart"/>
      <w:r w:rsidRPr="00575A16">
        <w:t>contribui</w:t>
      </w:r>
      <w:proofErr w:type="spellEnd"/>
      <w:r w:rsidRPr="00575A16">
        <w:t xml:space="preserve"> la </w:t>
      </w:r>
      <w:proofErr w:type="spellStart"/>
      <w:r w:rsidRPr="00575A16">
        <w:t>integrarea</w:t>
      </w:r>
      <w:proofErr w:type="spellEnd"/>
      <w:r w:rsidRPr="00575A16">
        <w:t xml:space="preserve"> </w:t>
      </w:r>
      <w:proofErr w:type="spellStart"/>
      <w:r w:rsidRPr="00575A16">
        <w:t>socială</w:t>
      </w:r>
      <w:proofErr w:type="spellEnd"/>
      <w:r w:rsidRPr="00575A16">
        <w:t xml:space="preserve"> a </w:t>
      </w:r>
      <w:proofErr w:type="spellStart"/>
      <w:r w:rsidRPr="00575A16">
        <w:t>persoanelor</w:t>
      </w:r>
      <w:proofErr w:type="spellEnd"/>
      <w:r w:rsidRPr="00575A16">
        <w:t xml:space="preserve"> </w:t>
      </w:r>
      <w:proofErr w:type="spellStart"/>
      <w:r w:rsidRPr="00575A16">
        <w:t>adulte</w:t>
      </w:r>
      <w:proofErr w:type="spellEnd"/>
      <w:r w:rsidRPr="00575A16">
        <w:t xml:space="preserve"> </w:t>
      </w:r>
      <w:proofErr w:type="spellStart"/>
      <w:r w:rsidRPr="00575A16">
        <w:t>cu</w:t>
      </w:r>
      <w:proofErr w:type="spellEnd"/>
      <w:r w:rsidRPr="00575A16">
        <w:t xml:space="preserve"> </w:t>
      </w:r>
      <w:proofErr w:type="spellStart"/>
      <w:r w:rsidRPr="00575A16">
        <w:t>dizabilități</w:t>
      </w:r>
      <w:proofErr w:type="spellEnd"/>
      <w:r w:rsidRPr="00575A16">
        <w:t xml:space="preserve"> </w:t>
      </w:r>
      <w:proofErr w:type="spellStart"/>
      <w:r w:rsidRPr="00575A16">
        <w:t>și</w:t>
      </w:r>
      <w:proofErr w:type="spellEnd"/>
      <w:r w:rsidRPr="00575A16">
        <w:t xml:space="preserve"> </w:t>
      </w:r>
      <w:proofErr w:type="spellStart"/>
      <w:r w:rsidRPr="00575A16">
        <w:t>prevenirea</w:t>
      </w:r>
      <w:proofErr w:type="spellEnd"/>
      <w:r w:rsidRPr="00575A16">
        <w:t xml:space="preserve"> </w:t>
      </w:r>
      <w:proofErr w:type="spellStart"/>
      <w:r w:rsidRPr="00575A16">
        <w:t>instituționalizării</w:t>
      </w:r>
      <w:proofErr w:type="spellEnd"/>
      <w:r w:rsidRPr="00575A16">
        <w:t xml:space="preserve"> </w:t>
      </w:r>
      <w:proofErr w:type="spellStart"/>
      <w:r w:rsidRPr="00575A16">
        <w:t>acestora</w:t>
      </w:r>
      <w:proofErr w:type="spellEnd"/>
      <w:r w:rsidRPr="00575A16">
        <w:t>.</w:t>
      </w:r>
    </w:p>
    <w:p w14:paraId="52AF850B" w14:textId="4E22EC15" w:rsidR="00575A16" w:rsidRPr="00EC7A4D" w:rsidRDefault="00575A16" w:rsidP="00575A16">
      <w:pPr>
        <w:spacing w:line="276" w:lineRule="auto"/>
        <w:jc w:val="both"/>
        <w:rPr>
          <w:color w:val="000000"/>
          <w:lang w:val="ro-RO"/>
        </w:rPr>
      </w:pPr>
      <w:r w:rsidRPr="00EC7A4D">
        <w:rPr>
          <w:b/>
          <w:color w:val="000000"/>
          <w:lang w:val="ro-RO"/>
        </w:rPr>
        <w:tab/>
      </w:r>
      <w:r w:rsidRPr="00575A16">
        <w:rPr>
          <w:color w:val="000000"/>
          <w:lang w:val="ro-RO"/>
        </w:rPr>
        <w:t>Proiectul este finanțat prin</w:t>
      </w:r>
      <w:r w:rsidRPr="00575A16">
        <w:rPr>
          <w:b/>
          <w:color w:val="000000"/>
          <w:lang w:val="ro-RO"/>
        </w:rPr>
        <w:t xml:space="preserve"> Planul Național de Redresare și Reziliență al României (PNRR), </w:t>
      </w:r>
      <w:r w:rsidRPr="00575A16">
        <w:rPr>
          <w:bCs/>
          <w:color w:val="000000"/>
          <w:lang w:val="ro-RO"/>
        </w:rPr>
        <w:t>apel de proiecte gestionat de Ministerul Muncii și Solidarității Sociale,</w:t>
      </w:r>
      <w:bookmarkStart w:id="0" w:name="_heading=h.30j0zll" w:colFirst="0" w:colLast="0"/>
      <w:bookmarkEnd w:id="0"/>
      <w:r w:rsidR="00EC7A4D" w:rsidRPr="00EC7A4D">
        <w:rPr>
          <w:bCs/>
          <w:color w:val="000000"/>
          <w:lang w:val="ro-RO"/>
        </w:rPr>
        <w:t xml:space="preserve"> </w:t>
      </w:r>
      <w:r w:rsidRPr="00575A16">
        <w:rPr>
          <w:bCs/>
          <w:color w:val="000000"/>
          <w:lang w:val="ro-RO"/>
        </w:rPr>
        <w:t>titlu apel</w:t>
      </w:r>
      <w:r w:rsidRPr="00575A16">
        <w:rPr>
          <w:b/>
          <w:color w:val="000000"/>
          <w:lang w:val="ro-RO"/>
        </w:rPr>
        <w:t xml:space="preserve">: </w:t>
      </w:r>
      <w:r w:rsidRPr="00575A16">
        <w:rPr>
          <w:color w:val="000000"/>
          <w:lang w:val="ro-RO"/>
        </w:rPr>
        <w:t>Componenta C13– Reforme sociale- Investiția 2.- Reabilitarea/Renovarea infrastructurii sociale pentru persoanele cu dizabilități</w:t>
      </w:r>
      <w:r w:rsidRPr="00575A16">
        <w:rPr>
          <w:b/>
          <w:color w:val="000000"/>
          <w:lang w:val="ro-RO"/>
        </w:rPr>
        <w:t xml:space="preserve"> </w:t>
      </w:r>
      <w:r w:rsidRPr="00575A16">
        <w:rPr>
          <w:color w:val="000000"/>
          <w:lang w:val="ro-RO"/>
        </w:rPr>
        <w:t>(PNRR/2022/C13/MMSS/I2./ runda a 2-a).</w:t>
      </w:r>
    </w:p>
    <w:p w14:paraId="4943B2C0" w14:textId="7B2D616A" w:rsidR="00EC7A4D" w:rsidRPr="00EC7A4D" w:rsidRDefault="00EC7A4D" w:rsidP="00575A16">
      <w:pPr>
        <w:spacing w:line="276" w:lineRule="auto"/>
        <w:jc w:val="both"/>
        <w:rPr>
          <w:color w:val="000000"/>
          <w:lang w:val="ro-RO"/>
        </w:rPr>
      </w:pPr>
      <w:r w:rsidRPr="00EC7A4D">
        <w:rPr>
          <w:color w:val="000000"/>
        </w:rPr>
        <w:tab/>
      </w:r>
      <w:proofErr w:type="spellStart"/>
      <w:r w:rsidRPr="00EC7A4D">
        <w:rPr>
          <w:color w:val="000000"/>
        </w:rPr>
        <w:t>Valoarea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totală</w:t>
      </w:r>
      <w:proofErr w:type="spellEnd"/>
      <w:r w:rsidRPr="00EC7A4D">
        <w:rPr>
          <w:color w:val="000000"/>
        </w:rPr>
        <w:t xml:space="preserve"> a </w:t>
      </w:r>
      <w:proofErr w:type="spellStart"/>
      <w:r w:rsidRPr="00EC7A4D">
        <w:rPr>
          <w:color w:val="000000"/>
        </w:rPr>
        <w:t>finanțării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nerambursabile</w:t>
      </w:r>
      <w:proofErr w:type="spellEnd"/>
      <w:r w:rsidRPr="00EC7A4D">
        <w:rPr>
          <w:color w:val="000000"/>
        </w:rPr>
        <w:t xml:space="preserve"> este </w:t>
      </w:r>
      <w:r w:rsidRPr="00EC7A4D">
        <w:rPr>
          <w:color w:val="000000"/>
          <w:lang w:val="ro-RO"/>
        </w:rPr>
        <w:t>361.820,91 lei.</w:t>
      </w:r>
    </w:p>
    <w:p w14:paraId="11995BF8" w14:textId="61165209" w:rsidR="00EC7A4D" w:rsidRPr="00EC7A4D" w:rsidRDefault="00EC7A4D" w:rsidP="00EC7A4D">
      <w:pPr>
        <w:spacing w:line="276" w:lineRule="auto"/>
        <w:jc w:val="both"/>
        <w:rPr>
          <w:color w:val="000000"/>
        </w:rPr>
      </w:pPr>
      <w:r w:rsidRPr="00EC7A4D">
        <w:rPr>
          <w:color w:val="000000"/>
          <w:lang w:val="ro-RO"/>
        </w:rPr>
        <w:tab/>
      </w:r>
      <w:proofErr w:type="spellStart"/>
      <w:r w:rsidRPr="00EC7A4D">
        <w:rPr>
          <w:color w:val="000000"/>
        </w:rPr>
        <w:t>Contractul</w:t>
      </w:r>
      <w:proofErr w:type="spellEnd"/>
      <w:r w:rsidRPr="00EC7A4D">
        <w:rPr>
          <w:color w:val="000000"/>
        </w:rPr>
        <w:t xml:space="preserve"> de </w:t>
      </w:r>
      <w:proofErr w:type="spellStart"/>
      <w:r w:rsidRPr="00EC7A4D">
        <w:rPr>
          <w:color w:val="000000"/>
        </w:rPr>
        <w:t>finanțare</w:t>
      </w:r>
      <w:proofErr w:type="spellEnd"/>
      <w:r w:rsidRPr="00EC7A4D">
        <w:rPr>
          <w:color w:val="000000"/>
        </w:rPr>
        <w:t xml:space="preserve"> a fost </w:t>
      </w:r>
      <w:proofErr w:type="spellStart"/>
      <w:r w:rsidRPr="00EC7A4D">
        <w:rPr>
          <w:color w:val="000000"/>
        </w:rPr>
        <w:t>semnat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în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data</w:t>
      </w:r>
      <w:proofErr w:type="spellEnd"/>
      <w:r w:rsidRPr="00EC7A4D">
        <w:rPr>
          <w:color w:val="000000"/>
        </w:rPr>
        <w:t xml:space="preserve"> de 08.01.2024, </w:t>
      </w:r>
      <w:proofErr w:type="spellStart"/>
      <w:r w:rsidRPr="00EC7A4D">
        <w:rPr>
          <w:color w:val="000000"/>
        </w:rPr>
        <w:t>iar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proiectul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trebuie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finalizat</w:t>
      </w:r>
      <w:proofErr w:type="spellEnd"/>
      <w:r w:rsidRPr="00EC7A4D">
        <w:rPr>
          <w:color w:val="000000"/>
        </w:rPr>
        <w:t xml:space="preserve"> </w:t>
      </w:r>
      <w:proofErr w:type="spellStart"/>
      <w:r w:rsidRPr="00EC7A4D">
        <w:rPr>
          <w:color w:val="000000"/>
        </w:rPr>
        <w:t>până</w:t>
      </w:r>
      <w:proofErr w:type="spellEnd"/>
      <w:r w:rsidRPr="00EC7A4D">
        <w:rPr>
          <w:color w:val="000000"/>
        </w:rPr>
        <w:t xml:space="preserve"> la </w:t>
      </w:r>
      <w:proofErr w:type="spellStart"/>
      <w:r w:rsidRPr="00EC7A4D">
        <w:rPr>
          <w:color w:val="000000"/>
        </w:rPr>
        <w:t>data</w:t>
      </w:r>
      <w:proofErr w:type="spellEnd"/>
      <w:r w:rsidRPr="00EC7A4D">
        <w:rPr>
          <w:color w:val="000000"/>
        </w:rPr>
        <w:t xml:space="preserve"> de 31.12.2024. </w:t>
      </w:r>
    </w:p>
    <w:p w14:paraId="0C3C2A3F" w14:textId="436A0419" w:rsidR="00EC7A4D" w:rsidRDefault="00EC7A4D" w:rsidP="00575A16">
      <w:pPr>
        <w:spacing w:line="276" w:lineRule="auto"/>
        <w:jc w:val="both"/>
        <w:rPr>
          <w:color w:val="000000"/>
          <w:sz w:val="20"/>
          <w:szCs w:val="20"/>
          <w:lang w:val="ro-RO"/>
        </w:rPr>
      </w:pPr>
    </w:p>
    <w:p w14:paraId="012AFCAE" w14:textId="77777777" w:rsidR="00EC7A4D" w:rsidRDefault="00EC7A4D" w:rsidP="00EC7A4D">
      <w:pPr>
        <w:pStyle w:val="BodyText"/>
        <w:spacing w:before="162"/>
        <w:ind w:right="-472" w:hanging="567"/>
        <w:jc w:val="both"/>
        <w:rPr>
          <w:color w:val="1F3864" w:themeColor="accent1" w:themeShade="80"/>
          <w:sz w:val="20"/>
        </w:rPr>
      </w:pPr>
      <w:r>
        <w:rPr>
          <w:color w:val="1F3864" w:themeColor="accent1" w:themeShade="80"/>
          <w:sz w:val="20"/>
        </w:rPr>
        <w:t>„Conținutul</w:t>
      </w:r>
      <w:r>
        <w:rPr>
          <w:color w:val="1F3864" w:themeColor="accent1" w:themeShade="80"/>
          <w:spacing w:val="1"/>
          <w:sz w:val="20"/>
        </w:rPr>
        <w:t xml:space="preserve"> </w:t>
      </w:r>
      <w:r>
        <w:rPr>
          <w:color w:val="1F3864" w:themeColor="accent1" w:themeShade="80"/>
          <w:sz w:val="20"/>
        </w:rPr>
        <w:t>acestui material nu reprezintă în mod obligatoriu poziția oficială a Uniunii Europene sau</w:t>
      </w:r>
      <w:r>
        <w:rPr>
          <w:color w:val="1F3864" w:themeColor="accent1" w:themeShade="80"/>
          <w:spacing w:val="1"/>
          <w:sz w:val="20"/>
        </w:rPr>
        <w:t xml:space="preserve"> </w:t>
      </w:r>
      <w:r>
        <w:rPr>
          <w:color w:val="1F3864" w:themeColor="accent1" w:themeShade="80"/>
          <w:sz w:val="20"/>
        </w:rPr>
        <w:t>a</w:t>
      </w:r>
      <w:r>
        <w:rPr>
          <w:color w:val="1F3864" w:themeColor="accent1" w:themeShade="80"/>
          <w:spacing w:val="1"/>
          <w:sz w:val="20"/>
        </w:rPr>
        <w:t xml:space="preserve"> </w:t>
      </w:r>
      <w:r>
        <w:rPr>
          <w:color w:val="1F3864" w:themeColor="accent1" w:themeShade="80"/>
          <w:sz w:val="20"/>
        </w:rPr>
        <w:t>Guvernului României”.</w:t>
      </w:r>
    </w:p>
    <w:p w14:paraId="692C523C" w14:textId="77777777" w:rsidR="00EC7A4D" w:rsidRDefault="00EC7A4D" w:rsidP="00EC7A4D">
      <w:pPr>
        <w:pStyle w:val="BodyText"/>
        <w:spacing w:before="162"/>
        <w:jc w:val="both"/>
        <w:rPr>
          <w:color w:val="1F3864" w:themeColor="accent1" w:themeShade="80"/>
          <w:sz w:val="20"/>
        </w:rPr>
      </w:pPr>
    </w:p>
    <w:p w14:paraId="645BBC62" w14:textId="77777777" w:rsidR="00EC7A4D" w:rsidRDefault="00EC7A4D" w:rsidP="00EC7A4D">
      <w:pPr>
        <w:tabs>
          <w:tab w:val="left" w:pos="1301"/>
        </w:tabs>
        <w:ind w:right="141"/>
        <w:jc w:val="center"/>
        <w:rPr>
          <w:rFonts w:cstheme="minorHAnsi"/>
          <w:b/>
          <w:color w:val="1F3864" w:themeColor="accent1" w:themeShade="80"/>
          <w:sz w:val="24"/>
        </w:rPr>
      </w:pPr>
      <w:r>
        <w:rPr>
          <w:rFonts w:cstheme="minorHAnsi"/>
          <w:b/>
          <w:color w:val="1F3864" w:themeColor="accent1" w:themeShade="80"/>
          <w:sz w:val="24"/>
        </w:rPr>
        <w:t>„PNRR.</w:t>
      </w:r>
      <w:r>
        <w:rPr>
          <w:rFonts w:cstheme="minorHAnsi"/>
          <w:b/>
          <w:color w:val="1F3864" w:themeColor="accent1" w:themeShade="80"/>
          <w:spacing w:val="1"/>
          <w:sz w:val="24"/>
        </w:rPr>
        <w:t xml:space="preserve"> </w:t>
      </w:r>
      <w:proofErr w:type="spellStart"/>
      <w:r>
        <w:rPr>
          <w:rFonts w:cstheme="minorHAnsi"/>
          <w:b/>
          <w:color w:val="1F3864" w:themeColor="accent1" w:themeShade="80"/>
          <w:sz w:val="24"/>
        </w:rPr>
        <w:t>Finanțat</w:t>
      </w:r>
      <w:proofErr w:type="spellEnd"/>
      <w:r>
        <w:rPr>
          <w:rFonts w:cstheme="minorHAnsi"/>
          <w:b/>
          <w:color w:val="1F3864" w:themeColor="accent1" w:themeShade="80"/>
          <w:spacing w:val="1"/>
          <w:sz w:val="24"/>
        </w:rPr>
        <w:t xml:space="preserve"> </w:t>
      </w:r>
      <w:r>
        <w:rPr>
          <w:rFonts w:cstheme="minorHAnsi"/>
          <w:b/>
          <w:color w:val="1F3864" w:themeColor="accent1" w:themeShade="80"/>
          <w:sz w:val="24"/>
        </w:rPr>
        <w:t>de</w:t>
      </w:r>
      <w:r>
        <w:rPr>
          <w:rFonts w:cstheme="minorHAnsi"/>
          <w:b/>
          <w:color w:val="1F3864" w:themeColor="accent1" w:themeShade="80"/>
          <w:spacing w:val="1"/>
          <w:sz w:val="24"/>
        </w:rPr>
        <w:t xml:space="preserve"> </w:t>
      </w:r>
      <w:proofErr w:type="spellStart"/>
      <w:r>
        <w:rPr>
          <w:rFonts w:cstheme="minorHAnsi"/>
          <w:b/>
          <w:color w:val="1F3864" w:themeColor="accent1" w:themeShade="80"/>
          <w:sz w:val="24"/>
        </w:rPr>
        <w:t>Uniunea</w:t>
      </w:r>
      <w:proofErr w:type="spellEnd"/>
      <w:r>
        <w:rPr>
          <w:rFonts w:cstheme="minorHAnsi"/>
          <w:b/>
          <w:color w:val="1F3864" w:themeColor="accent1" w:themeShade="80"/>
          <w:spacing w:val="1"/>
          <w:sz w:val="24"/>
        </w:rPr>
        <w:t xml:space="preserve"> </w:t>
      </w:r>
      <w:proofErr w:type="spellStart"/>
      <w:r>
        <w:rPr>
          <w:rFonts w:cstheme="minorHAnsi"/>
          <w:b/>
          <w:color w:val="1F3864" w:themeColor="accent1" w:themeShade="80"/>
          <w:sz w:val="24"/>
        </w:rPr>
        <w:t>Europeană</w:t>
      </w:r>
      <w:proofErr w:type="spellEnd"/>
      <w:r>
        <w:rPr>
          <w:rFonts w:cstheme="minorHAnsi"/>
          <w:b/>
          <w:color w:val="1F3864" w:themeColor="accent1" w:themeShade="80"/>
          <w:spacing w:val="1"/>
          <w:sz w:val="24"/>
        </w:rPr>
        <w:t xml:space="preserve"> </w:t>
      </w:r>
      <w:r>
        <w:rPr>
          <w:rFonts w:cstheme="minorHAnsi"/>
          <w:b/>
          <w:color w:val="1F3864" w:themeColor="accent1" w:themeShade="80"/>
          <w:sz w:val="24"/>
        </w:rPr>
        <w:t>–</w:t>
      </w:r>
      <w:r>
        <w:rPr>
          <w:rFonts w:cstheme="minorHAnsi"/>
          <w:b/>
          <w:color w:val="1F3864" w:themeColor="accent1" w:themeShade="80"/>
          <w:spacing w:val="1"/>
          <w:sz w:val="24"/>
        </w:rPr>
        <w:t xml:space="preserve"> </w:t>
      </w:r>
      <w:proofErr w:type="spellStart"/>
      <w:r>
        <w:rPr>
          <w:rFonts w:cstheme="minorHAnsi"/>
          <w:b/>
          <w:color w:val="1F3864" w:themeColor="accent1" w:themeShade="80"/>
          <w:sz w:val="24"/>
        </w:rPr>
        <w:t>UrmătoareaGenerațieUE</w:t>
      </w:r>
      <w:proofErr w:type="spellEnd"/>
      <w:r>
        <w:rPr>
          <w:rFonts w:cstheme="minorHAnsi"/>
          <w:b/>
          <w:color w:val="1F3864" w:themeColor="accent1" w:themeShade="80"/>
          <w:sz w:val="24"/>
        </w:rPr>
        <w:t>”.</w:t>
      </w:r>
    </w:p>
    <w:p w14:paraId="265E0AFC" w14:textId="7967E90B" w:rsidR="00256C98" w:rsidRPr="00256C98" w:rsidRDefault="00EC7A4D" w:rsidP="00EC7A4D">
      <w:pPr>
        <w:tabs>
          <w:tab w:val="left" w:pos="1301"/>
        </w:tabs>
        <w:ind w:right="-142"/>
      </w:pPr>
      <w:r>
        <w:rPr>
          <w:sz w:val="20"/>
          <w:szCs w:val="20"/>
        </w:rPr>
        <w:tab/>
      </w:r>
      <w:hyperlink r:id="rId6" w:history="1">
        <w:r>
          <w:rPr>
            <w:rStyle w:val="Hyperlink"/>
            <w:color w:val="1154CC"/>
            <w:sz w:val="20"/>
            <w:szCs w:val="20"/>
          </w:rPr>
          <w:t xml:space="preserve">https://mfe.gov.ro/pnrr/ 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color w:val="1154CC"/>
          <w:sz w:val="20"/>
          <w:szCs w:val="20"/>
          <w:u w:val="single" w:color="1154CC"/>
        </w:rPr>
        <w:t>https:/</w:t>
      </w:r>
      <w:hyperlink r:id="rId7" w:history="1">
        <w:r>
          <w:rPr>
            <w:rStyle w:val="Hyperlink"/>
            <w:color w:val="1154CC"/>
            <w:sz w:val="20"/>
            <w:szCs w:val="20"/>
          </w:rPr>
          <w:t>/www.f</w:t>
        </w:r>
      </w:hyperlink>
      <w:r>
        <w:rPr>
          <w:color w:val="1154CC"/>
          <w:sz w:val="20"/>
          <w:szCs w:val="20"/>
          <w:u w:val="single" w:color="1154CC"/>
        </w:rPr>
        <w:t>a</w:t>
      </w:r>
      <w:hyperlink r:id="rId8" w:history="1">
        <w:r>
          <w:rPr>
            <w:rStyle w:val="Hyperlink"/>
            <w:color w:val="1154CC"/>
            <w:sz w:val="20"/>
            <w:szCs w:val="20"/>
          </w:rPr>
          <w:t>cebook.com/PNRROficial/)</w:t>
        </w:r>
      </w:hyperlink>
    </w:p>
    <w:sectPr w:rsidR="00256C98" w:rsidRPr="00256C9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D723" w14:textId="77777777" w:rsidR="00404253" w:rsidRDefault="00404253" w:rsidP="00256C98">
      <w:pPr>
        <w:spacing w:after="0" w:line="240" w:lineRule="auto"/>
      </w:pPr>
      <w:r>
        <w:separator/>
      </w:r>
    </w:p>
  </w:endnote>
  <w:endnote w:type="continuationSeparator" w:id="0">
    <w:p w14:paraId="23C9DC91" w14:textId="77777777" w:rsidR="00404253" w:rsidRDefault="00404253" w:rsidP="0025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F23B6" w14:textId="77777777" w:rsidR="00404253" w:rsidRDefault="00404253" w:rsidP="00256C98">
      <w:pPr>
        <w:spacing w:after="0" w:line="240" w:lineRule="auto"/>
      </w:pPr>
      <w:r>
        <w:separator/>
      </w:r>
    </w:p>
  </w:footnote>
  <w:footnote w:type="continuationSeparator" w:id="0">
    <w:p w14:paraId="5AEA84CF" w14:textId="77777777" w:rsidR="00404253" w:rsidRDefault="00404253" w:rsidP="0025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0A67" w14:textId="08CB7AB1" w:rsidR="00256C98" w:rsidRDefault="00256C98">
    <w:pPr>
      <w:pStyle w:val="Header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012E899C" wp14:editId="48E18686">
          <wp:simplePos x="0" y="0"/>
          <wp:positionH relativeFrom="margin">
            <wp:posOffset>-657225</wp:posOffset>
          </wp:positionH>
          <wp:positionV relativeFrom="paragraph">
            <wp:posOffset>-142875</wp:posOffset>
          </wp:positionV>
          <wp:extent cx="7141845" cy="619760"/>
          <wp:effectExtent l="0" t="0" r="1905" b="8890"/>
          <wp:wrapTopAndBottom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0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184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99"/>
    <w:rsid w:val="00126032"/>
    <w:rsid w:val="00256C98"/>
    <w:rsid w:val="00404253"/>
    <w:rsid w:val="00474F99"/>
    <w:rsid w:val="00575A16"/>
    <w:rsid w:val="005C2455"/>
    <w:rsid w:val="00B34104"/>
    <w:rsid w:val="00BF20E9"/>
    <w:rsid w:val="00D20CBF"/>
    <w:rsid w:val="00E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1691"/>
  <w15:chartTrackingRefBased/>
  <w15:docId w15:val="{E5201440-F0EB-494F-87E1-99E3AFCB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8"/>
    <w:rPr>
      <w:kern w:val="0"/>
      <w:lang w:val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C98"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6C98"/>
  </w:style>
  <w:style w:type="paragraph" w:styleId="Footer">
    <w:name w:val="footer"/>
    <w:basedOn w:val="Normal"/>
    <w:link w:val="FooterChar"/>
    <w:uiPriority w:val="99"/>
    <w:unhideWhenUsed/>
    <w:rsid w:val="00256C98"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6C98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7A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7A4D"/>
    <w:rPr>
      <w:rFonts w:ascii="Calibri" w:eastAsia="Calibri" w:hAnsi="Calibri" w:cs="Calibri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C7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NRROficial/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NRROficial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fe.gov.ro/pnr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Pancescu Matilda</dc:creator>
  <cp:keywords/>
  <dc:description/>
  <cp:lastModifiedBy>Kovács Anna</cp:lastModifiedBy>
  <cp:revision>3</cp:revision>
  <dcterms:created xsi:type="dcterms:W3CDTF">2024-03-21T10:47:00Z</dcterms:created>
  <dcterms:modified xsi:type="dcterms:W3CDTF">2024-03-21T18:36:00Z</dcterms:modified>
</cp:coreProperties>
</file>