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5DB2B" w14:textId="77777777" w:rsidR="004F43B4" w:rsidRPr="00A01A79" w:rsidRDefault="004F43B4" w:rsidP="004F43B4">
      <w:pPr>
        <w:spacing w:after="120"/>
        <w:ind w:left="-284" w:right="-228"/>
        <w:jc w:val="both"/>
        <w:rPr>
          <w:rFonts w:ascii="Calibri" w:hAnsi="Calibri"/>
          <w:color w:val="000000"/>
          <w:sz w:val="26"/>
          <w:szCs w:val="26"/>
          <w:lang w:val="ro-RO"/>
        </w:rPr>
      </w:pPr>
      <w:r w:rsidRPr="00A01A79">
        <w:rPr>
          <w:lang w:val="ro-RO"/>
        </w:rPr>
        <w:drawing>
          <wp:anchor distT="0" distB="0" distL="114300" distR="114300" simplePos="0" relativeHeight="251658240" behindDoc="0" locked="0" layoutInCell="1" allowOverlap="1" wp14:anchorId="7E6E4707" wp14:editId="67A7D712">
            <wp:simplePos x="0" y="0"/>
            <wp:positionH relativeFrom="column">
              <wp:posOffset>4381500</wp:posOffset>
            </wp:positionH>
            <wp:positionV relativeFrom="paragraph">
              <wp:posOffset>0</wp:posOffset>
            </wp:positionV>
            <wp:extent cx="1333500" cy="1350645"/>
            <wp:effectExtent l="0" t="0" r="0" b="1905"/>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5" cstate="hqprint">
                      <a:extLst>
                        <a:ext uri="{28A0092B-C50C-407E-A947-70E740481C1C}">
                          <a14:useLocalDpi xmlns:a14="http://schemas.microsoft.com/office/drawing/2010/main" val="0"/>
                        </a:ext>
                      </a:extLst>
                    </a:blip>
                    <a:srcRect l="9254" t="6842" r="9073" b="8564"/>
                    <a:stretch/>
                  </pic:blipFill>
                  <pic:spPr>
                    <a:xfrm>
                      <a:off x="0" y="0"/>
                      <a:ext cx="1333500" cy="1350645"/>
                    </a:xfrm>
                    <a:prstGeom prst="rect">
                      <a:avLst/>
                    </a:prstGeom>
                  </pic:spPr>
                </pic:pic>
              </a:graphicData>
            </a:graphic>
            <wp14:sizeRelH relativeFrom="margin">
              <wp14:pctWidth>0</wp14:pctWidth>
            </wp14:sizeRelH>
            <wp14:sizeRelV relativeFrom="margin">
              <wp14:pctHeight>0</wp14:pctHeight>
            </wp14:sizeRelV>
          </wp:anchor>
        </w:drawing>
      </w:r>
      <w:r w:rsidRPr="00A01A79">
        <w:rPr>
          <w:rFonts w:ascii="Calibri" w:hAnsi="Calibri"/>
          <w:color w:val="000000"/>
          <w:sz w:val="26"/>
          <w:szCs w:val="26"/>
          <w:lang w:val="ro-RO"/>
        </w:rPr>
        <w:drawing>
          <wp:anchor distT="0" distB="0" distL="114300" distR="114300" simplePos="0" relativeHeight="251659264" behindDoc="0" locked="0" layoutInCell="1" allowOverlap="1" wp14:anchorId="2CF2AD60" wp14:editId="74F1FB90">
            <wp:simplePos x="0" y="0"/>
            <wp:positionH relativeFrom="column">
              <wp:posOffset>-121920</wp:posOffset>
            </wp:positionH>
            <wp:positionV relativeFrom="paragraph">
              <wp:posOffset>251460</wp:posOffset>
            </wp:positionV>
            <wp:extent cx="2147570" cy="464820"/>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7570" cy="464820"/>
                    </a:xfrm>
                    <a:prstGeom prst="rect">
                      <a:avLst/>
                    </a:prstGeom>
                    <a:noFill/>
                  </pic:spPr>
                </pic:pic>
              </a:graphicData>
            </a:graphic>
          </wp:anchor>
        </w:drawing>
      </w:r>
    </w:p>
    <w:p w14:paraId="4FE59F91" w14:textId="77777777" w:rsidR="00052FB2" w:rsidRPr="00A01A79" w:rsidRDefault="00052FB2" w:rsidP="00052FB2">
      <w:pPr>
        <w:spacing w:after="120"/>
        <w:ind w:left="-284" w:right="-228"/>
        <w:jc w:val="both"/>
        <w:rPr>
          <w:rFonts w:ascii="Calibri" w:hAnsi="Calibri"/>
          <w:color w:val="000000"/>
          <w:sz w:val="26"/>
          <w:szCs w:val="26"/>
          <w:lang w:val="ro-RO"/>
        </w:rPr>
      </w:pPr>
      <w:r w:rsidRPr="00A01A79">
        <w:rPr>
          <w:rFonts w:ascii="Calibri" w:hAnsi="Calibri"/>
          <w:color w:val="000000"/>
          <w:sz w:val="26"/>
          <w:szCs w:val="26"/>
          <w:lang w:val="ro-RO"/>
        </w:rPr>
        <w:t xml:space="preserve">Titlul: </w:t>
      </w:r>
      <w:r w:rsidRPr="00A01A79">
        <w:rPr>
          <w:rFonts w:ascii="Calibri" w:hAnsi="Calibri"/>
          <w:sz w:val="26"/>
          <w:szCs w:val="26"/>
          <w:lang w:val="ro-RO"/>
        </w:rPr>
        <w:t>The Growth Game - unlocking a Well-being Power up</w:t>
      </w:r>
    </w:p>
    <w:p w14:paraId="37275831" w14:textId="77777777" w:rsidR="00052FB2" w:rsidRPr="00A01A79" w:rsidRDefault="00052FB2" w:rsidP="00052FB2">
      <w:pPr>
        <w:spacing w:after="120"/>
        <w:ind w:left="-284" w:right="-228"/>
        <w:jc w:val="both"/>
        <w:rPr>
          <w:rFonts w:ascii="Calibri" w:hAnsi="Calibri"/>
          <w:color w:val="000000"/>
          <w:sz w:val="26"/>
          <w:szCs w:val="26"/>
          <w:lang w:val="ro-RO"/>
        </w:rPr>
      </w:pPr>
      <w:r w:rsidRPr="00A01A79">
        <w:rPr>
          <w:rFonts w:ascii="Calibri" w:hAnsi="Calibri"/>
          <w:color w:val="000000"/>
          <w:sz w:val="26"/>
          <w:szCs w:val="26"/>
          <w:lang w:val="ro-RO"/>
        </w:rPr>
        <w:t>Nr. proiect: 2021-2-NL01-KA220-SCH-000048972</w:t>
      </w:r>
    </w:p>
    <w:p w14:paraId="7B6F2A76" w14:textId="3CD20656" w:rsidR="00052FB2" w:rsidRPr="00A01A79" w:rsidRDefault="00052FB2" w:rsidP="00052FB2">
      <w:pPr>
        <w:spacing w:after="120"/>
        <w:ind w:left="-284" w:right="-228"/>
        <w:jc w:val="both"/>
        <w:rPr>
          <w:rFonts w:ascii="Calibri" w:hAnsi="Calibri"/>
          <w:color w:val="000000"/>
          <w:sz w:val="26"/>
          <w:szCs w:val="26"/>
          <w:lang w:val="ro-RO"/>
        </w:rPr>
      </w:pPr>
      <w:r w:rsidRPr="00A01A79">
        <w:rPr>
          <w:rFonts w:ascii="Calibri" w:hAnsi="Calibri"/>
          <w:color w:val="000000"/>
          <w:sz w:val="26"/>
          <w:szCs w:val="26"/>
          <w:lang w:val="ro-RO"/>
        </w:rPr>
        <w:t>Perioada de derulare: 01.03.2022 – 01.03.2024</w:t>
      </w:r>
    </w:p>
    <w:p w14:paraId="72BCE8D3" w14:textId="10AC60B5" w:rsidR="00052FB2" w:rsidRPr="00A01A79" w:rsidRDefault="00052FB2" w:rsidP="00052FB2">
      <w:pPr>
        <w:spacing w:after="120"/>
        <w:ind w:left="-284" w:right="-228"/>
        <w:jc w:val="both"/>
        <w:rPr>
          <w:rFonts w:ascii="Calibri" w:hAnsi="Calibri"/>
          <w:sz w:val="26"/>
          <w:szCs w:val="26"/>
          <w:lang w:val="ro-RO"/>
        </w:rPr>
      </w:pPr>
      <w:r w:rsidRPr="00A01A79">
        <w:rPr>
          <w:rFonts w:ascii="Calibri" w:hAnsi="Calibri"/>
          <w:color w:val="000000"/>
          <w:sz w:val="26"/>
          <w:szCs w:val="26"/>
          <w:lang w:val="ro-RO"/>
        </w:rPr>
        <w:t xml:space="preserve">Valoarea proiectului: </w:t>
      </w:r>
      <w:r w:rsidRPr="00A01A79">
        <w:rPr>
          <w:rFonts w:ascii="Calibri" w:hAnsi="Calibri"/>
          <w:sz w:val="26"/>
          <w:szCs w:val="26"/>
          <w:lang w:val="ro-RO"/>
        </w:rPr>
        <w:t>243</w:t>
      </w:r>
      <w:r w:rsidR="00A01A79">
        <w:rPr>
          <w:rFonts w:ascii="Calibri" w:hAnsi="Calibri"/>
          <w:sz w:val="26"/>
          <w:szCs w:val="26"/>
          <w:lang w:val="ro-RO"/>
        </w:rPr>
        <w:t xml:space="preserve"> </w:t>
      </w:r>
      <w:r w:rsidRPr="00A01A79">
        <w:rPr>
          <w:rFonts w:ascii="Calibri" w:hAnsi="Calibri"/>
          <w:sz w:val="26"/>
          <w:szCs w:val="26"/>
          <w:lang w:val="ro-RO"/>
        </w:rPr>
        <w:t>348,00 Euro</w:t>
      </w:r>
    </w:p>
    <w:p w14:paraId="543CDF83" w14:textId="324F2C77" w:rsidR="00052FB2" w:rsidRPr="00A01A79" w:rsidRDefault="00052FB2" w:rsidP="00052FB2">
      <w:pPr>
        <w:spacing w:after="120"/>
        <w:ind w:left="-284" w:right="-228"/>
        <w:jc w:val="both"/>
        <w:rPr>
          <w:rFonts w:ascii="Calibri" w:hAnsi="Calibri"/>
          <w:sz w:val="26"/>
          <w:szCs w:val="26"/>
          <w:lang w:val="ro-RO"/>
        </w:rPr>
      </w:pPr>
      <w:r w:rsidRPr="00A01A79">
        <w:rPr>
          <w:rFonts w:ascii="Calibri" w:hAnsi="Calibri"/>
          <w:color w:val="000000"/>
          <w:sz w:val="26"/>
          <w:szCs w:val="26"/>
          <w:lang w:val="ro-RO"/>
        </w:rPr>
        <w:t>Bugetul aprobat Direcției:</w:t>
      </w:r>
      <w:r w:rsidR="00A01A79">
        <w:rPr>
          <w:rFonts w:ascii="Calibri" w:hAnsi="Calibri"/>
          <w:color w:val="000000"/>
          <w:sz w:val="26"/>
          <w:szCs w:val="26"/>
          <w:lang w:val="ro-RO"/>
        </w:rPr>
        <w:t xml:space="preserve"> </w:t>
      </w:r>
      <w:r w:rsidRPr="00A01A79">
        <w:rPr>
          <w:rFonts w:ascii="Calibri" w:hAnsi="Calibri"/>
          <w:color w:val="000000"/>
          <w:sz w:val="26"/>
          <w:szCs w:val="26"/>
          <w:lang w:val="ro-RO"/>
        </w:rPr>
        <w:t>27</w:t>
      </w:r>
      <w:r w:rsidR="00A01A79">
        <w:rPr>
          <w:rFonts w:ascii="Calibri" w:hAnsi="Calibri"/>
          <w:color w:val="000000"/>
          <w:sz w:val="26"/>
          <w:szCs w:val="26"/>
          <w:lang w:val="ro-RO"/>
        </w:rPr>
        <w:t xml:space="preserve"> </w:t>
      </w:r>
      <w:r w:rsidRPr="00A01A79">
        <w:rPr>
          <w:rFonts w:ascii="Calibri" w:hAnsi="Calibri"/>
          <w:color w:val="000000"/>
          <w:sz w:val="26"/>
          <w:szCs w:val="26"/>
          <w:lang w:val="ro-RO"/>
        </w:rPr>
        <w:t>572,00 Euro</w:t>
      </w:r>
    </w:p>
    <w:p w14:paraId="3E577DFB" w14:textId="77777777" w:rsidR="00052FB2" w:rsidRPr="00A01A79" w:rsidRDefault="00052FB2" w:rsidP="00052FB2">
      <w:pPr>
        <w:shd w:val="clear" w:color="auto" w:fill="FFFFFF"/>
        <w:spacing w:after="120"/>
        <w:ind w:left="-284" w:right="-228"/>
        <w:rPr>
          <w:rFonts w:ascii="Calibri" w:hAnsi="Calibri"/>
          <w:color w:val="000000"/>
          <w:sz w:val="26"/>
          <w:szCs w:val="26"/>
          <w:lang w:val="ro-RO"/>
        </w:rPr>
      </w:pPr>
      <w:r w:rsidRPr="00A01A79">
        <w:rPr>
          <w:rFonts w:ascii="Calibri" w:hAnsi="Calibri"/>
          <w:color w:val="000000"/>
          <w:sz w:val="26"/>
          <w:szCs w:val="26"/>
          <w:lang w:val="ro-RO"/>
        </w:rPr>
        <w:t>Coordonatorul proiectului: 8D Games BV din Olanda</w:t>
      </w:r>
    </w:p>
    <w:p w14:paraId="3D88D469" w14:textId="77777777" w:rsidR="00052FB2" w:rsidRPr="00A01A79" w:rsidRDefault="00052FB2" w:rsidP="00052FB2">
      <w:pPr>
        <w:shd w:val="clear" w:color="auto" w:fill="FFFFFF"/>
        <w:spacing w:after="120"/>
        <w:ind w:left="-284" w:right="-228"/>
        <w:rPr>
          <w:rFonts w:ascii="Calibri" w:hAnsi="Calibri"/>
          <w:color w:val="000000"/>
          <w:sz w:val="26"/>
          <w:szCs w:val="26"/>
          <w:lang w:val="ro-RO"/>
        </w:rPr>
      </w:pPr>
      <w:r w:rsidRPr="00A01A79">
        <w:rPr>
          <w:rFonts w:ascii="Calibri" w:hAnsi="Calibri"/>
          <w:color w:val="000000"/>
          <w:sz w:val="26"/>
          <w:szCs w:val="26"/>
          <w:lang w:val="ro-RO"/>
        </w:rPr>
        <w:t>Parteneri:</w:t>
      </w:r>
    </w:p>
    <w:p w14:paraId="45498BE6" w14:textId="2269A8D3" w:rsidR="00052FB2" w:rsidRPr="00A01A79" w:rsidRDefault="00052FB2" w:rsidP="00052FB2">
      <w:pPr>
        <w:pStyle w:val="ListParagraph"/>
        <w:numPr>
          <w:ilvl w:val="0"/>
          <w:numId w:val="1"/>
        </w:numPr>
        <w:ind w:left="-284" w:right="-228" w:firstLine="0"/>
        <w:jc w:val="both"/>
        <w:rPr>
          <w:rFonts w:ascii="Calibri" w:hAnsi="Calibri"/>
          <w:sz w:val="26"/>
          <w:szCs w:val="26"/>
          <w:lang w:val="ro-RO"/>
        </w:rPr>
      </w:pPr>
      <w:r w:rsidRPr="00A01A79">
        <w:rPr>
          <w:rFonts w:ascii="Calibri" w:hAnsi="Calibri"/>
          <w:sz w:val="26"/>
          <w:szCs w:val="26"/>
          <w:lang w:val="ro-RO"/>
        </w:rPr>
        <w:t>Direcţia Generală de Asistenţă Socială şi Protecţia Copilului Harghita, România</w:t>
      </w:r>
      <w:r w:rsidR="00A01A79">
        <w:rPr>
          <w:rFonts w:ascii="Calibri" w:hAnsi="Calibri"/>
          <w:sz w:val="26"/>
          <w:szCs w:val="26"/>
          <w:lang w:val="ro-RO"/>
        </w:rPr>
        <w:t>;</w:t>
      </w:r>
    </w:p>
    <w:p w14:paraId="3188C288" w14:textId="4A7E6717" w:rsidR="00052FB2" w:rsidRPr="00A01A79" w:rsidRDefault="00052FB2" w:rsidP="00052FB2">
      <w:pPr>
        <w:pStyle w:val="ListParagraph"/>
        <w:numPr>
          <w:ilvl w:val="0"/>
          <w:numId w:val="1"/>
        </w:numPr>
        <w:ind w:left="-284" w:right="-228" w:firstLine="0"/>
        <w:jc w:val="both"/>
        <w:rPr>
          <w:rFonts w:ascii="Calibri" w:hAnsi="Calibri"/>
          <w:sz w:val="26"/>
          <w:szCs w:val="26"/>
          <w:lang w:val="ro-RO"/>
        </w:rPr>
      </w:pPr>
      <w:r w:rsidRPr="00A01A79">
        <w:rPr>
          <w:rFonts w:ascii="Calibri" w:hAnsi="Calibri"/>
          <w:sz w:val="26"/>
          <w:szCs w:val="26"/>
          <w:lang w:val="ro-RO"/>
        </w:rPr>
        <w:t>Fundația Centrul Educațional Spektrum, România</w:t>
      </w:r>
      <w:r w:rsidR="00A01A79">
        <w:rPr>
          <w:rFonts w:ascii="Calibri" w:hAnsi="Calibri"/>
          <w:sz w:val="26"/>
          <w:szCs w:val="26"/>
          <w:lang w:val="ro-RO"/>
        </w:rPr>
        <w:t>;</w:t>
      </w:r>
      <w:r w:rsidRPr="00A01A79">
        <w:rPr>
          <w:rFonts w:ascii="Calibri" w:hAnsi="Calibri"/>
          <w:sz w:val="26"/>
          <w:szCs w:val="26"/>
          <w:lang w:val="ro-RO"/>
        </w:rPr>
        <w:t xml:space="preserve"> </w:t>
      </w:r>
    </w:p>
    <w:p w14:paraId="669BBC49" w14:textId="6E45BF49" w:rsidR="00052FB2" w:rsidRPr="00A01A79" w:rsidRDefault="00052FB2" w:rsidP="00052FB2">
      <w:pPr>
        <w:pStyle w:val="ListParagraph"/>
        <w:numPr>
          <w:ilvl w:val="0"/>
          <w:numId w:val="1"/>
        </w:numPr>
        <w:ind w:left="-284" w:right="-228" w:firstLine="0"/>
        <w:jc w:val="both"/>
        <w:rPr>
          <w:rFonts w:ascii="Calibri" w:hAnsi="Calibri"/>
          <w:sz w:val="26"/>
          <w:szCs w:val="26"/>
          <w:lang w:val="ro-RO"/>
        </w:rPr>
      </w:pPr>
      <w:r w:rsidRPr="00A01A79">
        <w:rPr>
          <w:rFonts w:ascii="Calibri" w:hAnsi="Calibri"/>
          <w:sz w:val="26"/>
          <w:szCs w:val="26"/>
          <w:lang w:val="ro-RO"/>
        </w:rPr>
        <w:t>Mittetulundusuhing Vitatiim, Estonia</w:t>
      </w:r>
      <w:r w:rsidR="00A01A79">
        <w:rPr>
          <w:rFonts w:ascii="Calibri" w:hAnsi="Calibri"/>
          <w:sz w:val="26"/>
          <w:szCs w:val="26"/>
          <w:lang w:val="ro-RO"/>
        </w:rPr>
        <w:t>;</w:t>
      </w:r>
    </w:p>
    <w:p w14:paraId="7F933766" w14:textId="14774B8D" w:rsidR="00052FB2" w:rsidRPr="00A01A79" w:rsidRDefault="00052FB2" w:rsidP="00052FB2">
      <w:pPr>
        <w:pStyle w:val="ListParagraph"/>
        <w:numPr>
          <w:ilvl w:val="0"/>
          <w:numId w:val="1"/>
        </w:numPr>
        <w:ind w:left="-284" w:right="-228" w:firstLine="0"/>
        <w:jc w:val="both"/>
        <w:rPr>
          <w:rFonts w:ascii="Calibri" w:hAnsi="Calibri"/>
          <w:sz w:val="26"/>
          <w:szCs w:val="26"/>
          <w:lang w:val="ro-RO"/>
        </w:rPr>
      </w:pPr>
      <w:r w:rsidRPr="00A01A79">
        <w:rPr>
          <w:rFonts w:ascii="Calibri" w:hAnsi="Calibri"/>
          <w:sz w:val="26"/>
          <w:szCs w:val="26"/>
          <w:lang w:val="ro-RO"/>
        </w:rPr>
        <w:t>Dekaplus Business Services LTD</w:t>
      </w:r>
      <w:r w:rsidR="00A01A79">
        <w:rPr>
          <w:rFonts w:ascii="Calibri" w:hAnsi="Calibri"/>
          <w:sz w:val="26"/>
          <w:szCs w:val="26"/>
          <w:lang w:val="ro-RO"/>
        </w:rPr>
        <w:t xml:space="preserve">, </w:t>
      </w:r>
      <w:r w:rsidRPr="00A01A79">
        <w:rPr>
          <w:rFonts w:ascii="Calibri" w:hAnsi="Calibri"/>
          <w:sz w:val="26"/>
          <w:szCs w:val="26"/>
          <w:lang w:val="ro-RO"/>
        </w:rPr>
        <w:t>Cipru</w:t>
      </w:r>
      <w:r w:rsidR="00A01A79">
        <w:rPr>
          <w:rFonts w:ascii="Calibri" w:hAnsi="Calibri"/>
          <w:sz w:val="26"/>
          <w:szCs w:val="26"/>
          <w:lang w:val="ro-RO"/>
        </w:rPr>
        <w:t>;</w:t>
      </w:r>
    </w:p>
    <w:p w14:paraId="4DC1400F" w14:textId="7903AF79" w:rsidR="00052FB2" w:rsidRPr="00A01A79" w:rsidRDefault="00052FB2" w:rsidP="00052FB2">
      <w:pPr>
        <w:pStyle w:val="ListParagraph"/>
        <w:numPr>
          <w:ilvl w:val="0"/>
          <w:numId w:val="1"/>
        </w:numPr>
        <w:ind w:left="-284" w:right="-228" w:firstLine="0"/>
        <w:jc w:val="both"/>
        <w:rPr>
          <w:rFonts w:ascii="Calibri" w:hAnsi="Calibri"/>
          <w:sz w:val="26"/>
          <w:szCs w:val="26"/>
          <w:lang w:val="ro-RO"/>
        </w:rPr>
      </w:pPr>
      <w:r w:rsidRPr="00A01A79">
        <w:rPr>
          <w:rFonts w:ascii="Calibri" w:hAnsi="Calibri"/>
          <w:sz w:val="26"/>
          <w:szCs w:val="26"/>
          <w:lang w:val="ro-RO"/>
        </w:rPr>
        <w:t>Stichting Business Development Friesland</w:t>
      </w:r>
      <w:r w:rsidR="00A01A79">
        <w:rPr>
          <w:rFonts w:ascii="Calibri" w:hAnsi="Calibri"/>
          <w:sz w:val="26"/>
          <w:szCs w:val="26"/>
          <w:lang w:val="ro-RO"/>
        </w:rPr>
        <w:t xml:space="preserve">, </w:t>
      </w:r>
      <w:r w:rsidRPr="00A01A79">
        <w:rPr>
          <w:rFonts w:ascii="Calibri" w:hAnsi="Calibri"/>
          <w:sz w:val="26"/>
          <w:szCs w:val="26"/>
          <w:lang w:val="ro-RO"/>
        </w:rPr>
        <w:t>Olanda</w:t>
      </w:r>
      <w:r w:rsidR="00A01A79">
        <w:rPr>
          <w:rFonts w:ascii="Calibri" w:hAnsi="Calibri"/>
          <w:sz w:val="26"/>
          <w:szCs w:val="26"/>
          <w:lang w:val="ro-RO"/>
        </w:rPr>
        <w:t>.</w:t>
      </w:r>
    </w:p>
    <w:p w14:paraId="09C370F8" w14:textId="77777777" w:rsidR="00052FB2" w:rsidRPr="00A01A79" w:rsidRDefault="00052FB2" w:rsidP="00052FB2">
      <w:pPr>
        <w:pStyle w:val="ListParagraph"/>
        <w:ind w:left="-284" w:right="-228"/>
        <w:jc w:val="both"/>
        <w:rPr>
          <w:rFonts w:ascii="Calibri" w:hAnsi="Calibri"/>
          <w:sz w:val="26"/>
          <w:szCs w:val="26"/>
          <w:lang w:val="ro-RO"/>
        </w:rPr>
      </w:pPr>
    </w:p>
    <w:p w14:paraId="29D194B0" w14:textId="77777777" w:rsidR="00052FB2" w:rsidRPr="00A01A79" w:rsidRDefault="00052FB2" w:rsidP="00052FB2">
      <w:pPr>
        <w:spacing w:after="120"/>
        <w:ind w:left="-284" w:right="-228"/>
        <w:jc w:val="both"/>
        <w:rPr>
          <w:rFonts w:ascii="Calibri" w:hAnsi="Calibri"/>
          <w:sz w:val="26"/>
          <w:szCs w:val="26"/>
          <w:u w:val="single"/>
          <w:lang w:val="ro-RO"/>
        </w:rPr>
      </w:pPr>
      <w:r w:rsidRPr="00A01A79">
        <w:rPr>
          <w:rFonts w:ascii="Calibri" w:hAnsi="Calibri"/>
          <w:sz w:val="26"/>
          <w:szCs w:val="26"/>
          <w:u w:val="single"/>
          <w:lang w:val="ro-RO"/>
        </w:rPr>
        <w:t>Descrierea proiectului:</w:t>
      </w:r>
    </w:p>
    <w:p w14:paraId="6841FF6C" w14:textId="4A862CCC" w:rsidR="00052FB2" w:rsidRPr="00A01A79" w:rsidRDefault="00052FB2" w:rsidP="00052FB2">
      <w:pPr>
        <w:ind w:left="-284" w:right="-228" w:firstLine="992"/>
        <w:jc w:val="both"/>
        <w:rPr>
          <w:rFonts w:asciiTheme="minorHAnsi" w:hAnsiTheme="minorHAnsi"/>
          <w:sz w:val="26"/>
          <w:szCs w:val="26"/>
          <w:lang w:val="ro-RO"/>
        </w:rPr>
      </w:pPr>
      <w:r w:rsidRPr="00A01A79">
        <w:rPr>
          <w:rFonts w:asciiTheme="minorHAnsi" w:hAnsiTheme="minorHAnsi"/>
          <w:sz w:val="26"/>
          <w:szCs w:val="26"/>
          <w:lang w:val="ro-RO"/>
        </w:rPr>
        <w:t xml:space="preserve">În acest proiect intenționăm să dezvoltăm un joc digital destinat adolescenților, care îi va ajuta să-și internalizeze mentalitatea de creștere (growth mindset) și să dezvolte perseverența. Mentalitatea de creștere este adesea luată ca un lucru de sine înțeles, ceva despre care se așteaptă să fie suficient de bine instilat elevilor până la vârsta adolescenței. </w:t>
      </w:r>
      <w:r w:rsidR="00A01A79">
        <w:rPr>
          <w:rFonts w:asciiTheme="minorHAnsi" w:hAnsiTheme="minorHAnsi"/>
          <w:sz w:val="26"/>
          <w:szCs w:val="26"/>
          <w:lang w:val="ro-RO"/>
        </w:rPr>
        <w:t>P</w:t>
      </w:r>
      <w:r w:rsidRPr="00A01A79">
        <w:rPr>
          <w:rFonts w:asciiTheme="minorHAnsi" w:hAnsiTheme="minorHAnsi"/>
          <w:sz w:val="26"/>
          <w:szCs w:val="26"/>
          <w:lang w:val="ro-RO"/>
        </w:rPr>
        <w:t xml:space="preserve">rincipiile mentalității de creștere au devenit mai populare și mai răspândite de când profesorul Carol Dweck a inventat termenul, </w:t>
      </w:r>
      <w:r w:rsidR="00A01A79">
        <w:rPr>
          <w:rFonts w:asciiTheme="minorHAnsi" w:hAnsiTheme="minorHAnsi"/>
          <w:sz w:val="26"/>
          <w:szCs w:val="26"/>
          <w:lang w:val="ro-RO"/>
        </w:rPr>
        <w:t xml:space="preserve">iar </w:t>
      </w:r>
      <w:r w:rsidRPr="00A01A79">
        <w:rPr>
          <w:rFonts w:asciiTheme="minorHAnsi" w:hAnsiTheme="minorHAnsi"/>
          <w:sz w:val="26"/>
          <w:szCs w:val="26"/>
          <w:lang w:val="ro-RO"/>
        </w:rPr>
        <w:t xml:space="preserve">într-un studiu PISA din 2018 s-a arătat că până la 37% dintre </w:t>
      </w:r>
      <w:r w:rsidRPr="00A01A79">
        <w:rPr>
          <w:rFonts w:asciiTheme="minorHAnsi" w:hAnsiTheme="minorHAnsi"/>
          <w:color w:val="000000" w:themeColor="text1"/>
          <w:sz w:val="26"/>
          <w:szCs w:val="26"/>
          <w:lang w:val="ro-RO"/>
        </w:rPr>
        <w:t xml:space="preserve">elevii </w:t>
      </w:r>
      <w:r w:rsidRPr="00A01A79">
        <w:rPr>
          <w:rFonts w:asciiTheme="minorHAnsi" w:hAnsiTheme="minorHAnsi"/>
          <w:sz w:val="26"/>
          <w:szCs w:val="26"/>
          <w:lang w:val="ro-RO"/>
        </w:rPr>
        <w:t xml:space="preserve">din țările OCDE au raportat că ei cred că inteligența nu se poate schimba foarte mult în timp. </w:t>
      </w:r>
    </w:p>
    <w:p w14:paraId="46F0CA1F" w14:textId="2A9A52EB" w:rsidR="00052FB2" w:rsidRPr="00A01A79" w:rsidRDefault="00052FB2" w:rsidP="00052FB2">
      <w:pPr>
        <w:ind w:left="-284" w:right="-228" w:firstLine="992"/>
        <w:jc w:val="both"/>
        <w:rPr>
          <w:rFonts w:asciiTheme="minorHAnsi" w:hAnsiTheme="minorHAnsi"/>
          <w:sz w:val="26"/>
          <w:szCs w:val="26"/>
          <w:lang w:val="ro-RO"/>
        </w:rPr>
      </w:pPr>
      <w:r w:rsidRPr="00A01A79">
        <w:rPr>
          <w:rFonts w:asciiTheme="minorHAnsi" w:hAnsiTheme="minorHAnsi"/>
          <w:sz w:val="26"/>
          <w:szCs w:val="26"/>
          <w:lang w:val="ro-RO"/>
        </w:rPr>
        <w:t xml:space="preserve">Mentalitatea de creștere (growth mindset) este un subiect important de abordat în special în ceea ce privește adolescenții, deoarece le permite să își împlinească întregul potențial și să devină adulți fericiți și rezilienți. În timpul unui scurt sondaj pe care l-am realizat în rândul profesorilor și lucrătorilor de tineret, s-a raportat că mentalitatea părinților joacă un rol important în modul în care copiii simt că își pot dezvolta competențele. Dacă acești părinți se familiarizează cu modalități constructive de a oferi încurajare </w:t>
      </w:r>
      <w:r w:rsidR="00A01A79">
        <w:rPr>
          <w:rFonts w:asciiTheme="minorHAnsi" w:hAnsiTheme="minorHAnsi"/>
          <w:sz w:val="26"/>
          <w:szCs w:val="26"/>
          <w:lang w:val="ro-RO"/>
        </w:rPr>
        <w:t xml:space="preserve">– </w:t>
      </w:r>
      <w:r w:rsidRPr="00A01A79">
        <w:rPr>
          <w:rFonts w:asciiTheme="minorHAnsi" w:hAnsiTheme="minorHAnsi"/>
          <w:sz w:val="26"/>
          <w:szCs w:val="26"/>
          <w:lang w:val="ro-RO"/>
        </w:rPr>
        <w:t xml:space="preserve">concentrându-se pe proces și nu pe talentele </w:t>
      </w:r>
      <w:r w:rsidR="00A01A79">
        <w:rPr>
          <w:rFonts w:asciiTheme="minorHAnsi" w:hAnsiTheme="minorHAnsi"/>
          <w:sz w:val="26"/>
          <w:szCs w:val="26"/>
          <w:lang w:val="ro-RO"/>
        </w:rPr>
        <w:t>native</w:t>
      </w:r>
      <w:r w:rsidRPr="00A01A79">
        <w:rPr>
          <w:rFonts w:asciiTheme="minorHAnsi" w:hAnsiTheme="minorHAnsi"/>
          <w:sz w:val="26"/>
          <w:szCs w:val="26"/>
          <w:lang w:val="ro-RO"/>
        </w:rPr>
        <w:t xml:space="preserve"> – jocul va avea un impact mai mare.</w:t>
      </w:r>
    </w:p>
    <w:p w14:paraId="1E86D2B8" w14:textId="21E50A12" w:rsidR="00052FB2" w:rsidRPr="00A01A79" w:rsidRDefault="00052FB2" w:rsidP="00052FB2">
      <w:pPr>
        <w:ind w:left="-284" w:right="-228" w:firstLine="992"/>
        <w:jc w:val="both"/>
        <w:rPr>
          <w:rFonts w:asciiTheme="minorHAnsi" w:hAnsiTheme="minorHAnsi"/>
          <w:sz w:val="26"/>
          <w:szCs w:val="26"/>
          <w:lang w:val="ro-RO"/>
        </w:rPr>
      </w:pPr>
      <w:r w:rsidRPr="00A01A79">
        <w:rPr>
          <w:rFonts w:asciiTheme="minorHAnsi" w:hAnsiTheme="minorHAnsi"/>
          <w:sz w:val="26"/>
          <w:szCs w:val="26"/>
          <w:lang w:val="ro-RO"/>
        </w:rPr>
        <w:t xml:space="preserve">O altă problemă pe care intenționăm să o abordăm este modul în care internetul </w:t>
      </w:r>
      <w:r w:rsidR="00A01A79">
        <w:rPr>
          <w:rFonts w:asciiTheme="minorHAnsi" w:hAnsiTheme="minorHAnsi"/>
          <w:sz w:val="26"/>
          <w:szCs w:val="26"/>
          <w:lang w:val="ro-RO"/>
        </w:rPr>
        <w:t>influențează</w:t>
      </w:r>
      <w:r w:rsidRPr="00A01A79">
        <w:rPr>
          <w:rFonts w:asciiTheme="minorHAnsi" w:hAnsiTheme="minorHAnsi"/>
          <w:sz w:val="26"/>
          <w:szCs w:val="26"/>
          <w:lang w:val="ro-RO"/>
        </w:rPr>
        <w:t xml:space="preserve"> rezistenț</w:t>
      </w:r>
      <w:r w:rsidR="00A01A79">
        <w:rPr>
          <w:rFonts w:asciiTheme="minorHAnsi" w:hAnsiTheme="minorHAnsi"/>
          <w:sz w:val="26"/>
          <w:szCs w:val="26"/>
          <w:lang w:val="ro-RO"/>
        </w:rPr>
        <w:t>a</w:t>
      </w:r>
      <w:r w:rsidRPr="00A01A79">
        <w:rPr>
          <w:rFonts w:asciiTheme="minorHAnsi" w:hAnsiTheme="minorHAnsi"/>
          <w:sz w:val="26"/>
          <w:szCs w:val="26"/>
          <w:lang w:val="ro-RO"/>
        </w:rPr>
        <w:t xml:space="preserve"> și dorinț</w:t>
      </w:r>
      <w:r w:rsidR="00A01A79">
        <w:rPr>
          <w:rFonts w:asciiTheme="minorHAnsi" w:hAnsiTheme="minorHAnsi"/>
          <w:sz w:val="26"/>
          <w:szCs w:val="26"/>
          <w:lang w:val="ro-RO"/>
        </w:rPr>
        <w:t>a</w:t>
      </w:r>
      <w:r w:rsidRPr="00A01A79">
        <w:rPr>
          <w:rFonts w:asciiTheme="minorHAnsi" w:hAnsiTheme="minorHAnsi"/>
          <w:sz w:val="26"/>
          <w:szCs w:val="26"/>
          <w:lang w:val="ro-RO"/>
        </w:rPr>
        <w:t xml:space="preserve"> copiilor de a depune efort în ceva pentru o perioadă mai </w:t>
      </w:r>
      <w:r w:rsidRPr="00A01A79">
        <w:rPr>
          <w:rFonts w:asciiTheme="minorHAnsi" w:hAnsiTheme="minorHAnsi"/>
          <w:sz w:val="26"/>
          <w:szCs w:val="26"/>
          <w:lang w:val="ro-RO"/>
        </w:rPr>
        <w:lastRenderedPageBreak/>
        <w:t>lungă de timp. În sondajul nostru, diferiți profesori și-au raportat îngrijorările cu privire la modul în care copiii s-au obișnuit foarte mult cu răspunsurile și succesele imediate.</w:t>
      </w:r>
    </w:p>
    <w:p w14:paraId="354E8CF3" w14:textId="7CF5271E" w:rsidR="00052FB2" w:rsidRPr="00A01A79" w:rsidRDefault="00052FB2" w:rsidP="00052FB2">
      <w:pPr>
        <w:ind w:left="-284" w:right="-228" w:firstLine="992"/>
        <w:jc w:val="both"/>
        <w:rPr>
          <w:rFonts w:asciiTheme="minorHAnsi" w:hAnsiTheme="minorHAnsi"/>
          <w:sz w:val="26"/>
          <w:szCs w:val="26"/>
          <w:lang w:val="ro-RO"/>
        </w:rPr>
      </w:pPr>
      <w:r w:rsidRPr="00A01A79">
        <w:rPr>
          <w:rFonts w:asciiTheme="minorHAnsi" w:hAnsiTheme="minorHAnsi"/>
          <w:sz w:val="26"/>
          <w:szCs w:val="26"/>
          <w:lang w:val="ro-RO"/>
        </w:rPr>
        <w:t xml:space="preserve">Grupuri țintă: copii între 10 și 14 ani și adulții din jurul lor (profesori, educatori, familie). Vrem să explorăm mecanismele de joc potrivite pentru </w:t>
      </w:r>
      <w:r w:rsidRPr="00A01A79">
        <w:rPr>
          <w:rFonts w:asciiTheme="minorHAnsi" w:hAnsiTheme="minorHAnsi"/>
          <w:color w:val="000000" w:themeColor="text1"/>
          <w:sz w:val="26"/>
          <w:szCs w:val="26"/>
          <w:lang w:val="ro-RO"/>
        </w:rPr>
        <w:t>aceștia</w:t>
      </w:r>
      <w:r w:rsidRPr="00A01A79">
        <w:rPr>
          <w:rFonts w:asciiTheme="minorHAnsi" w:hAnsiTheme="minorHAnsi"/>
          <w:sz w:val="26"/>
          <w:szCs w:val="26"/>
          <w:lang w:val="ro-RO"/>
        </w:rPr>
        <w:t xml:space="preserve">. În mod ideal, jocul ar „sărbători” eșecul și faptul de a avea talente diferite. Evaluând împreună, se poate experimenta în mod direct că fiecare are propriile defecte, dar și abilități la care trebuie să muncească mai mult. Formatul jocului este foarte potrivit pentru interiorizarea mentalității de creștere, deoarece oferă un mediu sigur pentru cazul eșecului. Jocul se va baza pe un set de exerciții practice organizate, pe care să le </w:t>
      </w:r>
      <w:r w:rsidR="00A01A79">
        <w:rPr>
          <w:rFonts w:asciiTheme="minorHAnsi" w:hAnsiTheme="minorHAnsi"/>
          <w:sz w:val="26"/>
          <w:szCs w:val="26"/>
          <w:lang w:val="ro-RO"/>
        </w:rPr>
        <w:t>rezolve</w:t>
      </w:r>
      <w:r w:rsidRPr="00A01A79">
        <w:rPr>
          <w:rFonts w:asciiTheme="minorHAnsi" w:hAnsiTheme="minorHAnsi"/>
          <w:sz w:val="26"/>
          <w:szCs w:val="26"/>
          <w:lang w:val="ro-RO"/>
        </w:rPr>
        <w:t xml:space="preserve"> cu principiile mentalității de creștere (adică: oferirea de complimente colegilor, oferirea de feedback într-un mod util, sugerarea diferitelor strategii de învățare etc.), implementarea stimulentelor și principiilor de gamificare care se încadrează în teoria mentalității de creștere. Jocul va avea o formă „hibridă”: joc digital care poate fi folosit oriunde și oricând </w:t>
      </w:r>
      <w:r w:rsidR="00A01A79">
        <w:rPr>
          <w:rFonts w:asciiTheme="minorHAnsi" w:hAnsiTheme="minorHAnsi"/>
          <w:sz w:val="26"/>
          <w:szCs w:val="26"/>
          <w:lang w:val="ro-RO"/>
        </w:rPr>
        <w:t>și</w:t>
      </w:r>
      <w:r w:rsidRPr="00A01A79">
        <w:rPr>
          <w:rFonts w:asciiTheme="minorHAnsi" w:hAnsiTheme="minorHAnsi"/>
          <w:sz w:val="26"/>
          <w:szCs w:val="26"/>
          <w:lang w:val="ro-RO"/>
        </w:rPr>
        <w:t xml:space="preserve"> metodă de evaluare offline cu un adult (profesor, educator, părinte) </w:t>
      </w:r>
      <w:r w:rsidR="00A01A79">
        <w:rPr>
          <w:rFonts w:asciiTheme="minorHAnsi" w:hAnsiTheme="minorHAnsi"/>
          <w:sz w:val="26"/>
          <w:szCs w:val="26"/>
          <w:lang w:val="ro-RO"/>
        </w:rPr>
        <w:t>–</w:t>
      </w:r>
      <w:r w:rsidRPr="00A01A79">
        <w:rPr>
          <w:rFonts w:asciiTheme="minorHAnsi" w:hAnsiTheme="minorHAnsi"/>
          <w:sz w:val="26"/>
          <w:szCs w:val="26"/>
          <w:lang w:val="ro-RO"/>
        </w:rPr>
        <w:t xml:space="preserve"> evaluarea comună normalizează eșecul și va încuraja o durată mai lungă de atenție (adică blocaje pe rețele sociale, cronometre etc.).</w:t>
      </w:r>
    </w:p>
    <w:p w14:paraId="21821148" w14:textId="0E197EE6" w:rsidR="00052FB2" w:rsidRPr="00A01A79" w:rsidRDefault="00052FB2" w:rsidP="00052FB2">
      <w:pPr>
        <w:ind w:left="-284" w:right="-228"/>
        <w:jc w:val="both"/>
        <w:rPr>
          <w:rFonts w:asciiTheme="minorHAnsi" w:hAnsiTheme="minorHAnsi"/>
          <w:sz w:val="26"/>
          <w:szCs w:val="26"/>
          <w:lang w:val="ro-RO"/>
        </w:rPr>
      </w:pPr>
      <w:r w:rsidRPr="00A01A79">
        <w:rPr>
          <w:rFonts w:asciiTheme="minorHAnsi" w:hAnsiTheme="minorHAnsi"/>
          <w:sz w:val="26"/>
          <w:szCs w:val="26"/>
          <w:lang w:val="ro-RO"/>
        </w:rPr>
        <w:t xml:space="preserve">Impactul acestui proiect este de a pune accent pe cunoașterea profundă a principiilor mentalității de creștere (growth mindset) în toate </w:t>
      </w:r>
      <w:r w:rsidR="00A01A79">
        <w:rPr>
          <w:rFonts w:asciiTheme="minorHAnsi" w:hAnsiTheme="minorHAnsi"/>
          <w:sz w:val="26"/>
          <w:szCs w:val="26"/>
          <w:lang w:val="ro-RO"/>
        </w:rPr>
        <w:t>do</w:t>
      </w:r>
      <w:r w:rsidRPr="00A01A79">
        <w:rPr>
          <w:rFonts w:asciiTheme="minorHAnsi" w:hAnsiTheme="minorHAnsi"/>
          <w:sz w:val="26"/>
          <w:szCs w:val="26"/>
          <w:lang w:val="ro-RO"/>
        </w:rPr>
        <w:t>me</w:t>
      </w:r>
      <w:r w:rsidR="00A01A79">
        <w:rPr>
          <w:rFonts w:asciiTheme="minorHAnsi" w:hAnsiTheme="minorHAnsi"/>
          <w:sz w:val="26"/>
          <w:szCs w:val="26"/>
          <w:lang w:val="ro-RO"/>
        </w:rPr>
        <w:t>n</w:t>
      </w:r>
      <w:r w:rsidRPr="00A01A79">
        <w:rPr>
          <w:rFonts w:asciiTheme="minorHAnsi" w:hAnsiTheme="minorHAnsi"/>
          <w:sz w:val="26"/>
          <w:szCs w:val="26"/>
          <w:lang w:val="ro-RO"/>
        </w:rPr>
        <w:t>iile socio-economice, contribuind astfel la o mai mare egalitate de șanse în educație și carier</w:t>
      </w:r>
      <w:r w:rsidR="00A01A79">
        <w:rPr>
          <w:rFonts w:asciiTheme="minorHAnsi" w:hAnsiTheme="minorHAnsi"/>
          <w:sz w:val="26"/>
          <w:szCs w:val="26"/>
          <w:lang w:val="ro-RO"/>
        </w:rPr>
        <w:t>ă</w:t>
      </w:r>
      <w:r w:rsidRPr="00A01A79">
        <w:rPr>
          <w:rFonts w:asciiTheme="minorHAnsi" w:hAnsiTheme="minorHAnsi"/>
          <w:sz w:val="26"/>
          <w:szCs w:val="26"/>
          <w:lang w:val="ro-RO"/>
        </w:rPr>
        <w:t>. Acest lucru va avea ulterior un impact pozitiv asupra inovației în societățile europene și asupra nevoilor economiilor moderne, deoarece mentalitatea de creștere se potrivește foarte bine cu gândirea critică, orientată spre viitor și abilitățile de învățare profundă.</w:t>
      </w:r>
    </w:p>
    <w:p w14:paraId="15DDCA2E" w14:textId="77777777" w:rsidR="00052FB2" w:rsidRPr="00A01A79" w:rsidRDefault="00052FB2" w:rsidP="00052FB2">
      <w:pPr>
        <w:ind w:left="-284" w:right="-228"/>
        <w:jc w:val="both"/>
        <w:rPr>
          <w:rFonts w:asciiTheme="minorHAnsi" w:hAnsiTheme="minorHAnsi"/>
          <w:sz w:val="26"/>
          <w:szCs w:val="26"/>
          <w:lang w:val="ro-RO"/>
        </w:rPr>
      </w:pPr>
    </w:p>
    <w:p w14:paraId="78A20413" w14:textId="77777777" w:rsidR="00052FB2" w:rsidRPr="00A01A79" w:rsidRDefault="00052FB2" w:rsidP="00052FB2">
      <w:pPr>
        <w:ind w:left="-284" w:right="-228"/>
        <w:jc w:val="both"/>
        <w:rPr>
          <w:rFonts w:asciiTheme="minorHAnsi" w:hAnsiTheme="minorHAnsi"/>
          <w:sz w:val="26"/>
          <w:szCs w:val="26"/>
          <w:lang w:val="ro-RO"/>
        </w:rPr>
      </w:pPr>
      <w:r w:rsidRPr="00A01A79">
        <w:rPr>
          <w:rFonts w:asciiTheme="minorHAnsi" w:hAnsiTheme="minorHAnsi"/>
          <w:sz w:val="26"/>
          <w:szCs w:val="26"/>
          <w:lang w:val="ro-RO"/>
        </w:rPr>
        <w:t>Activitățile proiectului:</w:t>
      </w:r>
    </w:p>
    <w:p w14:paraId="4374D089" w14:textId="65FC1C6E" w:rsidR="005C485A" w:rsidRPr="005C485A" w:rsidRDefault="00052FB2" w:rsidP="00027BD6">
      <w:pPr>
        <w:pStyle w:val="ListParagraph"/>
        <w:numPr>
          <w:ilvl w:val="0"/>
          <w:numId w:val="2"/>
        </w:numPr>
        <w:ind w:left="-284" w:right="-228" w:firstLine="0"/>
        <w:jc w:val="both"/>
        <w:rPr>
          <w:rFonts w:asciiTheme="minorHAnsi" w:hAnsiTheme="minorHAnsi"/>
          <w:sz w:val="26"/>
          <w:szCs w:val="26"/>
          <w:lang w:val="ro-RO"/>
        </w:rPr>
      </w:pPr>
      <w:r w:rsidRPr="005C485A">
        <w:rPr>
          <w:rFonts w:asciiTheme="minorHAnsi" w:hAnsiTheme="minorHAnsi"/>
          <w:sz w:val="26"/>
          <w:szCs w:val="26"/>
          <w:lang w:val="ro-RO"/>
        </w:rPr>
        <w:t>RAPORT DE BUNE PRACTICI</w:t>
      </w:r>
      <w:r w:rsidR="005C485A" w:rsidRPr="005C485A">
        <w:rPr>
          <w:rFonts w:asciiTheme="minorHAnsi" w:hAnsiTheme="minorHAnsi"/>
          <w:sz w:val="26"/>
          <w:szCs w:val="26"/>
          <w:lang w:val="ro-RO"/>
        </w:rPr>
        <w:t xml:space="preserve"> </w:t>
      </w:r>
      <w:r w:rsidR="005C485A" w:rsidRPr="00A01A79">
        <w:rPr>
          <w:rFonts w:asciiTheme="minorHAnsi" w:hAnsiTheme="minorHAnsi"/>
          <w:sz w:val="26"/>
          <w:szCs w:val="26"/>
          <w:lang w:val="ro-RO"/>
        </w:rPr>
        <w:t>–</w:t>
      </w:r>
      <w:r w:rsidR="005C485A">
        <w:rPr>
          <w:rFonts w:asciiTheme="minorHAnsi" w:hAnsiTheme="minorHAnsi"/>
          <w:sz w:val="26"/>
          <w:szCs w:val="26"/>
          <w:lang w:val="ro-RO"/>
        </w:rPr>
        <w:t xml:space="preserve"> </w:t>
      </w:r>
      <w:r w:rsidRPr="005C485A">
        <w:rPr>
          <w:rFonts w:asciiTheme="minorHAnsi" w:hAnsiTheme="minorHAnsi"/>
          <w:sz w:val="26"/>
          <w:szCs w:val="26"/>
          <w:lang w:val="ro-RO"/>
        </w:rPr>
        <w:t>Interviuri și cercetări privind intervențiile actuale privind mentalitatea de creștere și blocajele acestora atât pentru profesori/părinți, cât și pentru copii</w:t>
      </w:r>
      <w:r w:rsidR="005C485A">
        <w:rPr>
          <w:rFonts w:asciiTheme="minorHAnsi" w:hAnsiTheme="minorHAnsi"/>
          <w:sz w:val="26"/>
          <w:szCs w:val="26"/>
          <w:lang w:val="ro-RO"/>
        </w:rPr>
        <w:t>;</w:t>
      </w:r>
      <w:r w:rsidRPr="005C485A">
        <w:rPr>
          <w:rFonts w:asciiTheme="minorHAnsi" w:hAnsiTheme="minorHAnsi"/>
          <w:sz w:val="26"/>
          <w:szCs w:val="26"/>
          <w:lang w:val="ro-RO"/>
        </w:rPr>
        <w:t xml:space="preserve"> </w:t>
      </w:r>
    </w:p>
    <w:p w14:paraId="2477624E" w14:textId="119255F8" w:rsidR="005C485A" w:rsidRDefault="00052FB2" w:rsidP="00052FB2">
      <w:pPr>
        <w:pStyle w:val="ListParagraph"/>
        <w:numPr>
          <w:ilvl w:val="0"/>
          <w:numId w:val="2"/>
        </w:numPr>
        <w:ind w:left="-284" w:right="-228" w:firstLine="0"/>
        <w:jc w:val="both"/>
        <w:rPr>
          <w:rFonts w:asciiTheme="minorHAnsi" w:hAnsiTheme="minorHAnsi"/>
          <w:sz w:val="26"/>
          <w:szCs w:val="26"/>
          <w:lang w:val="ro-RO"/>
        </w:rPr>
      </w:pPr>
      <w:r w:rsidRPr="00A01A79">
        <w:rPr>
          <w:rFonts w:asciiTheme="minorHAnsi" w:hAnsiTheme="minorHAnsi"/>
          <w:sz w:val="26"/>
          <w:szCs w:val="26"/>
          <w:lang w:val="ro-RO"/>
        </w:rPr>
        <w:t xml:space="preserve">CURRICULUM </w:t>
      </w:r>
      <w:r w:rsidR="005C485A" w:rsidRPr="00A01A79">
        <w:rPr>
          <w:rFonts w:asciiTheme="minorHAnsi" w:hAnsiTheme="minorHAnsi"/>
          <w:sz w:val="26"/>
          <w:szCs w:val="26"/>
          <w:lang w:val="ro-RO"/>
        </w:rPr>
        <w:t>–</w:t>
      </w:r>
      <w:r w:rsidRPr="00A01A79">
        <w:rPr>
          <w:rFonts w:asciiTheme="minorHAnsi" w:hAnsiTheme="minorHAnsi"/>
          <w:sz w:val="26"/>
          <w:szCs w:val="26"/>
          <w:lang w:val="ro-RO"/>
        </w:rPr>
        <w:t xml:space="preserve"> </w:t>
      </w:r>
      <w:r w:rsidR="005C485A" w:rsidRPr="00A01A79">
        <w:rPr>
          <w:rFonts w:asciiTheme="minorHAnsi" w:hAnsiTheme="minorHAnsi"/>
          <w:sz w:val="26"/>
          <w:szCs w:val="26"/>
          <w:lang w:val="ro-RO"/>
        </w:rPr>
        <w:t>un</w:t>
      </w:r>
      <w:r w:rsidRPr="00A01A79">
        <w:rPr>
          <w:rFonts w:asciiTheme="minorHAnsi" w:hAnsiTheme="minorHAnsi"/>
          <w:sz w:val="26"/>
          <w:szCs w:val="26"/>
          <w:lang w:val="ro-RO"/>
        </w:rPr>
        <w:t xml:space="preserve"> set de exerciții/mini-jocuri cercetate și testate care stimulează grija și capacitățile de creștere </w:t>
      </w:r>
      <w:r w:rsidR="005C485A">
        <w:rPr>
          <w:rFonts w:asciiTheme="minorHAnsi" w:hAnsiTheme="minorHAnsi"/>
          <w:sz w:val="26"/>
          <w:szCs w:val="26"/>
          <w:lang w:val="ro-RO"/>
        </w:rPr>
        <w:t>și</w:t>
      </w:r>
      <w:r w:rsidRPr="00A01A79">
        <w:rPr>
          <w:rFonts w:asciiTheme="minorHAnsi" w:hAnsiTheme="minorHAnsi"/>
          <w:sz w:val="26"/>
          <w:szCs w:val="26"/>
          <w:lang w:val="ro-RO"/>
        </w:rPr>
        <w:t xml:space="preserve"> informații despre neuroplasticitate, funcționarea creierului</w:t>
      </w:r>
      <w:r w:rsidR="005C485A">
        <w:rPr>
          <w:rFonts w:asciiTheme="minorHAnsi" w:hAnsiTheme="minorHAnsi"/>
          <w:sz w:val="26"/>
          <w:szCs w:val="26"/>
          <w:lang w:val="ro-RO"/>
        </w:rPr>
        <w:t>;</w:t>
      </w:r>
      <w:r w:rsidRPr="00A01A79">
        <w:rPr>
          <w:rFonts w:asciiTheme="minorHAnsi" w:hAnsiTheme="minorHAnsi"/>
          <w:sz w:val="26"/>
          <w:szCs w:val="26"/>
          <w:lang w:val="ro-RO"/>
        </w:rPr>
        <w:t xml:space="preserve"> </w:t>
      </w:r>
    </w:p>
    <w:p w14:paraId="03B4C8AE" w14:textId="214F48C0" w:rsidR="005C485A" w:rsidRDefault="00052FB2" w:rsidP="00052FB2">
      <w:pPr>
        <w:pStyle w:val="ListParagraph"/>
        <w:numPr>
          <w:ilvl w:val="0"/>
          <w:numId w:val="2"/>
        </w:numPr>
        <w:ind w:left="-284" w:right="-228" w:firstLine="0"/>
        <w:jc w:val="both"/>
        <w:rPr>
          <w:rFonts w:asciiTheme="minorHAnsi" w:hAnsiTheme="minorHAnsi"/>
          <w:sz w:val="26"/>
          <w:szCs w:val="26"/>
          <w:lang w:val="ro-RO"/>
        </w:rPr>
      </w:pPr>
      <w:r w:rsidRPr="00A01A79">
        <w:rPr>
          <w:rFonts w:asciiTheme="minorHAnsi" w:hAnsiTheme="minorHAnsi"/>
          <w:sz w:val="26"/>
          <w:szCs w:val="26"/>
          <w:lang w:val="ro-RO"/>
        </w:rPr>
        <w:t xml:space="preserve">JOC SERIOS </w:t>
      </w:r>
      <w:r w:rsidR="005C485A" w:rsidRPr="00A01A79">
        <w:rPr>
          <w:rFonts w:asciiTheme="minorHAnsi" w:hAnsiTheme="minorHAnsi"/>
          <w:sz w:val="26"/>
          <w:szCs w:val="26"/>
          <w:lang w:val="ro-RO"/>
        </w:rPr>
        <w:t>–</w:t>
      </w:r>
      <w:r w:rsidRPr="00A01A79">
        <w:rPr>
          <w:rFonts w:asciiTheme="minorHAnsi" w:hAnsiTheme="minorHAnsi"/>
          <w:sz w:val="26"/>
          <w:szCs w:val="26"/>
          <w:lang w:val="ro-RO"/>
        </w:rPr>
        <w:t xml:space="preserve"> </w:t>
      </w:r>
      <w:r w:rsidR="005C485A" w:rsidRPr="00A01A79">
        <w:rPr>
          <w:rFonts w:asciiTheme="minorHAnsi" w:hAnsiTheme="minorHAnsi"/>
          <w:sz w:val="26"/>
          <w:szCs w:val="26"/>
          <w:lang w:val="ro-RO"/>
        </w:rPr>
        <w:t>joc</w:t>
      </w:r>
      <w:r w:rsidRPr="00A01A79">
        <w:rPr>
          <w:rFonts w:asciiTheme="minorHAnsi" w:hAnsiTheme="minorHAnsi"/>
          <w:sz w:val="26"/>
          <w:szCs w:val="26"/>
          <w:lang w:val="ro-RO"/>
        </w:rPr>
        <w:t>ul conectează produsele intelectuale și folosește stimulentele potrivite, mecanismele de joc și stilurile de artă care se adresează unui public format din adolescenți</w:t>
      </w:r>
      <w:r w:rsidR="005C485A">
        <w:rPr>
          <w:rFonts w:asciiTheme="minorHAnsi" w:hAnsiTheme="minorHAnsi"/>
          <w:sz w:val="26"/>
          <w:szCs w:val="26"/>
          <w:lang w:val="ro-RO"/>
        </w:rPr>
        <w:t>;</w:t>
      </w:r>
    </w:p>
    <w:p w14:paraId="15164B88" w14:textId="77777777" w:rsidR="005C485A" w:rsidRDefault="00052FB2" w:rsidP="00052FB2">
      <w:pPr>
        <w:pStyle w:val="ListParagraph"/>
        <w:numPr>
          <w:ilvl w:val="0"/>
          <w:numId w:val="2"/>
        </w:numPr>
        <w:ind w:left="-284" w:right="-228" w:firstLine="0"/>
        <w:jc w:val="both"/>
        <w:rPr>
          <w:rFonts w:asciiTheme="minorHAnsi" w:hAnsiTheme="minorHAnsi"/>
          <w:sz w:val="26"/>
          <w:szCs w:val="26"/>
          <w:lang w:val="ro-RO"/>
        </w:rPr>
      </w:pPr>
      <w:r w:rsidRPr="00A01A79">
        <w:rPr>
          <w:rFonts w:asciiTheme="minorHAnsi" w:hAnsiTheme="minorHAnsi"/>
          <w:sz w:val="26"/>
          <w:szCs w:val="26"/>
          <w:lang w:val="ro-RO"/>
        </w:rPr>
        <w:t>GHID DE UTILIZARE – pentru profesori, educatori, părinți</w:t>
      </w:r>
      <w:r w:rsidR="005C485A">
        <w:rPr>
          <w:rFonts w:asciiTheme="minorHAnsi" w:hAnsiTheme="minorHAnsi"/>
          <w:sz w:val="26"/>
          <w:szCs w:val="26"/>
          <w:lang w:val="ro-RO"/>
        </w:rPr>
        <w:t>;</w:t>
      </w:r>
      <w:r w:rsidRPr="00A01A79">
        <w:rPr>
          <w:rFonts w:asciiTheme="minorHAnsi" w:hAnsiTheme="minorHAnsi"/>
          <w:sz w:val="26"/>
          <w:szCs w:val="26"/>
          <w:lang w:val="ro-RO"/>
        </w:rPr>
        <w:t xml:space="preserve"> </w:t>
      </w:r>
    </w:p>
    <w:p w14:paraId="7A834409" w14:textId="084B31C6" w:rsidR="00052FB2" w:rsidRPr="00A01A79" w:rsidRDefault="00052FB2" w:rsidP="00052FB2">
      <w:pPr>
        <w:pStyle w:val="ListParagraph"/>
        <w:numPr>
          <w:ilvl w:val="0"/>
          <w:numId w:val="2"/>
        </w:numPr>
        <w:ind w:left="-284" w:right="-228" w:firstLine="0"/>
        <w:jc w:val="both"/>
        <w:rPr>
          <w:rFonts w:asciiTheme="minorHAnsi" w:hAnsiTheme="minorHAnsi"/>
          <w:sz w:val="26"/>
          <w:szCs w:val="26"/>
          <w:lang w:val="ro-RO"/>
        </w:rPr>
      </w:pPr>
      <w:r w:rsidRPr="00A01A79">
        <w:rPr>
          <w:rFonts w:asciiTheme="minorHAnsi" w:hAnsiTheme="minorHAnsi"/>
          <w:sz w:val="26"/>
          <w:szCs w:val="26"/>
          <w:lang w:val="ro-RO"/>
        </w:rPr>
        <w:t xml:space="preserve">METODA DE EVALUARE </w:t>
      </w:r>
      <w:r w:rsidR="005C485A" w:rsidRPr="00A01A79">
        <w:rPr>
          <w:rFonts w:asciiTheme="minorHAnsi" w:hAnsiTheme="minorHAnsi"/>
          <w:sz w:val="26"/>
          <w:szCs w:val="26"/>
          <w:lang w:val="ro-RO"/>
        </w:rPr>
        <w:t>–</w:t>
      </w:r>
      <w:r w:rsidRPr="00A01A79">
        <w:rPr>
          <w:rFonts w:asciiTheme="minorHAnsi" w:hAnsiTheme="minorHAnsi"/>
          <w:sz w:val="26"/>
          <w:szCs w:val="26"/>
          <w:lang w:val="ro-RO"/>
        </w:rPr>
        <w:t xml:space="preserve"> </w:t>
      </w:r>
      <w:r w:rsidR="005C485A" w:rsidRPr="00A01A79">
        <w:rPr>
          <w:rFonts w:asciiTheme="minorHAnsi" w:hAnsiTheme="minorHAnsi"/>
          <w:sz w:val="26"/>
          <w:szCs w:val="26"/>
          <w:lang w:val="ro-RO"/>
        </w:rPr>
        <w:t xml:space="preserve">metodă </w:t>
      </w:r>
      <w:r w:rsidRPr="00A01A79">
        <w:rPr>
          <w:rFonts w:asciiTheme="minorHAnsi" w:hAnsiTheme="minorHAnsi"/>
          <w:sz w:val="26"/>
          <w:szCs w:val="26"/>
          <w:lang w:val="ro-RO"/>
        </w:rPr>
        <w:t>de realizare a unei măsurători zero la începutul proiectului, metodă de măsurare a impactului în diferite etape (teste) ale procesului de dezvoltare și optimizarea metodei de evaluare pentru implementare în Ghidul utilizatorului</w:t>
      </w:r>
      <w:r w:rsidR="005C485A">
        <w:rPr>
          <w:rFonts w:asciiTheme="minorHAnsi" w:hAnsiTheme="minorHAnsi"/>
          <w:sz w:val="26"/>
          <w:szCs w:val="26"/>
          <w:lang w:val="ro-RO"/>
        </w:rPr>
        <w:t>;</w:t>
      </w:r>
    </w:p>
    <w:p w14:paraId="18D60648" w14:textId="598F1AEB" w:rsidR="00052FB2" w:rsidRPr="00A01A79" w:rsidRDefault="00052FB2" w:rsidP="00052FB2">
      <w:pPr>
        <w:pStyle w:val="ListParagraph"/>
        <w:numPr>
          <w:ilvl w:val="0"/>
          <w:numId w:val="2"/>
        </w:numPr>
        <w:ind w:left="-284" w:right="-228" w:firstLine="0"/>
        <w:jc w:val="both"/>
        <w:rPr>
          <w:rFonts w:asciiTheme="minorHAnsi" w:hAnsiTheme="minorHAnsi"/>
          <w:sz w:val="26"/>
          <w:szCs w:val="26"/>
          <w:lang w:val="ro-RO"/>
        </w:rPr>
      </w:pPr>
      <w:r w:rsidRPr="00A01A79">
        <w:rPr>
          <w:rFonts w:asciiTheme="minorHAnsi" w:hAnsiTheme="minorHAnsi"/>
          <w:sz w:val="26"/>
          <w:szCs w:val="26"/>
          <w:lang w:val="ro-RO"/>
        </w:rPr>
        <w:t>Patru întâlniri transnaționale de proiect (Olanda, Estonia, România, Cipru)</w:t>
      </w:r>
      <w:r w:rsidR="005C485A">
        <w:rPr>
          <w:rFonts w:asciiTheme="minorHAnsi" w:hAnsiTheme="minorHAnsi"/>
          <w:sz w:val="26"/>
          <w:szCs w:val="26"/>
          <w:lang w:val="ro-RO"/>
        </w:rPr>
        <w:t>;</w:t>
      </w:r>
    </w:p>
    <w:p w14:paraId="65BBB91E" w14:textId="62087F50" w:rsidR="00052FB2" w:rsidRPr="00A01A79" w:rsidRDefault="00052FB2" w:rsidP="00052FB2">
      <w:pPr>
        <w:pStyle w:val="ListParagraph"/>
        <w:numPr>
          <w:ilvl w:val="0"/>
          <w:numId w:val="2"/>
        </w:numPr>
        <w:ind w:left="-284" w:right="-228" w:firstLine="0"/>
        <w:jc w:val="both"/>
        <w:rPr>
          <w:rFonts w:asciiTheme="minorHAnsi" w:hAnsiTheme="minorHAnsi"/>
          <w:sz w:val="26"/>
          <w:szCs w:val="26"/>
          <w:lang w:val="ro-RO"/>
        </w:rPr>
      </w:pPr>
      <w:r w:rsidRPr="00A01A79">
        <w:rPr>
          <w:rFonts w:asciiTheme="minorHAnsi" w:hAnsiTheme="minorHAnsi"/>
          <w:sz w:val="26"/>
          <w:szCs w:val="26"/>
          <w:lang w:val="ro-RO"/>
        </w:rPr>
        <w:t>Testare deschisă în Olanda și România, eveniment de lansare în toate țările partenere</w:t>
      </w:r>
      <w:r w:rsidR="005C485A">
        <w:rPr>
          <w:rFonts w:asciiTheme="minorHAnsi" w:hAnsiTheme="minorHAnsi"/>
          <w:sz w:val="26"/>
          <w:szCs w:val="26"/>
          <w:lang w:val="ro-RO"/>
        </w:rPr>
        <w:t>;</w:t>
      </w:r>
    </w:p>
    <w:p w14:paraId="6DB9A03E" w14:textId="77777777" w:rsidR="00E17A1B" w:rsidRPr="00A01A79" w:rsidRDefault="00052FB2" w:rsidP="00E17A1B">
      <w:pPr>
        <w:pStyle w:val="ListParagraph"/>
        <w:numPr>
          <w:ilvl w:val="0"/>
          <w:numId w:val="2"/>
        </w:numPr>
        <w:ind w:left="-284" w:right="-228" w:firstLine="0"/>
        <w:jc w:val="both"/>
        <w:rPr>
          <w:rFonts w:asciiTheme="minorHAnsi" w:hAnsiTheme="minorHAnsi"/>
          <w:sz w:val="26"/>
          <w:szCs w:val="26"/>
          <w:lang w:val="ro-RO"/>
        </w:rPr>
      </w:pPr>
      <w:r w:rsidRPr="00A01A79">
        <w:rPr>
          <w:rFonts w:asciiTheme="minorHAnsi" w:hAnsiTheme="minorHAnsi"/>
          <w:sz w:val="26"/>
          <w:szCs w:val="26"/>
          <w:lang w:val="ro-RO"/>
        </w:rPr>
        <w:t>Organizarea evenimentelor locale pentru promovarea rezultatelor proiectului în fiecare țară parteneră.</w:t>
      </w:r>
    </w:p>
    <w:p w14:paraId="05455D64" w14:textId="77777777" w:rsidR="00E17A1B" w:rsidRPr="00A01A79" w:rsidRDefault="00E17A1B" w:rsidP="00E17A1B">
      <w:pPr>
        <w:ind w:right="-228"/>
        <w:jc w:val="both"/>
        <w:rPr>
          <w:rFonts w:asciiTheme="minorHAnsi" w:hAnsiTheme="minorHAnsi"/>
          <w:sz w:val="26"/>
          <w:szCs w:val="26"/>
          <w:lang w:val="ro-RO"/>
        </w:rPr>
      </w:pPr>
    </w:p>
    <w:p w14:paraId="4EF3EA3F" w14:textId="7B090703" w:rsidR="00052FB2" w:rsidRPr="00A01A79" w:rsidRDefault="00E17A1B" w:rsidP="005C485A">
      <w:pPr>
        <w:ind w:right="-228"/>
        <w:jc w:val="both"/>
        <w:rPr>
          <w:lang w:val="ro-RO"/>
        </w:rPr>
      </w:pPr>
      <w:r w:rsidRPr="00A01A79">
        <w:rPr>
          <w:rFonts w:asciiTheme="minorHAnsi" w:hAnsiTheme="minorHAnsi"/>
          <w:sz w:val="26"/>
          <w:szCs w:val="26"/>
          <w:lang w:val="ro-RO"/>
        </w:rPr>
        <w:t xml:space="preserve">Projectul a fost </w:t>
      </w:r>
      <w:r w:rsidR="00E90F27" w:rsidRPr="00A01A79">
        <w:rPr>
          <w:rFonts w:asciiTheme="minorHAnsi" w:hAnsiTheme="minorHAnsi"/>
          <w:sz w:val="26"/>
          <w:szCs w:val="26"/>
          <w:lang w:val="ro-RO"/>
        </w:rPr>
        <w:t>co</w:t>
      </w:r>
      <w:r w:rsidRPr="00A01A79">
        <w:rPr>
          <w:rFonts w:asciiTheme="minorHAnsi" w:hAnsiTheme="minorHAnsi"/>
          <w:sz w:val="26"/>
          <w:szCs w:val="26"/>
          <w:lang w:val="ro-RO"/>
        </w:rPr>
        <w:t>finanțat prin programul Erasmus+ Ac</w:t>
      </w:r>
      <w:r w:rsidR="00130F08" w:rsidRPr="00A01A79">
        <w:rPr>
          <w:rFonts w:asciiTheme="minorHAnsi" w:hAnsiTheme="minorHAnsi"/>
          <w:sz w:val="26"/>
          <w:szCs w:val="26"/>
          <w:lang w:val="ro-RO"/>
        </w:rPr>
        <w:t xml:space="preserve">tivitate </w:t>
      </w:r>
      <w:r w:rsidRPr="00A01A79">
        <w:rPr>
          <w:rFonts w:asciiTheme="minorHAnsi" w:hAnsiTheme="minorHAnsi"/>
          <w:sz w:val="26"/>
          <w:szCs w:val="26"/>
          <w:lang w:val="ro-RO"/>
        </w:rPr>
        <w:t xml:space="preserve">cheie </w:t>
      </w:r>
      <w:r w:rsidR="00130F08" w:rsidRPr="00A01A79">
        <w:rPr>
          <w:rFonts w:asciiTheme="minorHAnsi" w:hAnsiTheme="minorHAnsi"/>
          <w:sz w:val="26"/>
          <w:szCs w:val="26"/>
          <w:lang w:val="ro-RO"/>
        </w:rPr>
        <w:t>KA</w:t>
      </w:r>
      <w:r w:rsidRPr="00A01A79">
        <w:rPr>
          <w:rFonts w:asciiTheme="minorHAnsi" w:hAnsiTheme="minorHAnsi"/>
          <w:sz w:val="26"/>
          <w:szCs w:val="26"/>
          <w:lang w:val="ro-RO"/>
        </w:rPr>
        <w:t>2. Parteneriate strategice în domeniul Educați</w:t>
      </w:r>
      <w:r w:rsidR="00130F08" w:rsidRPr="00A01A79">
        <w:rPr>
          <w:rFonts w:asciiTheme="minorHAnsi" w:hAnsiTheme="minorHAnsi"/>
          <w:sz w:val="26"/>
          <w:szCs w:val="26"/>
          <w:lang w:val="ro-RO"/>
        </w:rPr>
        <w:t>a ș</w:t>
      </w:r>
      <w:r w:rsidRPr="00A01A79">
        <w:rPr>
          <w:rFonts w:asciiTheme="minorHAnsi" w:hAnsiTheme="minorHAnsi"/>
          <w:sz w:val="26"/>
          <w:szCs w:val="26"/>
          <w:lang w:val="ro-RO"/>
        </w:rPr>
        <w:t>colar</w:t>
      </w:r>
      <w:r w:rsidR="00130F08" w:rsidRPr="00A01A79">
        <w:rPr>
          <w:rFonts w:asciiTheme="minorHAnsi" w:hAnsiTheme="minorHAnsi"/>
          <w:sz w:val="26"/>
          <w:szCs w:val="26"/>
          <w:lang w:val="ro-RO"/>
        </w:rPr>
        <w:t>ă</w:t>
      </w:r>
      <w:r w:rsidRPr="00A01A79">
        <w:rPr>
          <w:rFonts w:asciiTheme="minorHAnsi" w:hAnsiTheme="minorHAnsi"/>
          <w:sz w:val="26"/>
          <w:szCs w:val="26"/>
          <w:lang w:val="ro-RO"/>
        </w:rPr>
        <w:t xml:space="preserve"> (Key Action 2 - KA2 – Strategical partnership in the field of School education).</w:t>
      </w:r>
    </w:p>
    <w:sectPr w:rsidR="00052FB2" w:rsidRPr="00A01A79" w:rsidSect="004F43B4">
      <w:pgSz w:w="11906" w:h="16838"/>
      <w:pgMar w:top="156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1775"/>
    <w:multiLevelType w:val="hybridMultilevel"/>
    <w:tmpl w:val="34C861CC"/>
    <w:lvl w:ilvl="0" w:tplc="52E46542">
      <w:numFmt w:val="bullet"/>
      <w:lvlText w:val="-"/>
      <w:lvlJc w:val="left"/>
      <w:pPr>
        <w:ind w:left="360" w:hanging="360"/>
      </w:pPr>
      <w:rPr>
        <w:rFonts w:ascii="Calibri" w:eastAsiaTheme="minorEastAsia"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544109E3"/>
    <w:multiLevelType w:val="hybridMultilevel"/>
    <w:tmpl w:val="499AEC94"/>
    <w:lvl w:ilvl="0" w:tplc="99782F6A">
      <w:start w:val="1"/>
      <w:numFmt w:val="bullet"/>
      <w:lvlText w:val=""/>
      <w:lvlJc w:val="left"/>
      <w:pPr>
        <w:ind w:left="360" w:hanging="360"/>
      </w:pPr>
      <w:rPr>
        <w:rFonts w:ascii="Symbol" w:hAnsi="Symbol" w:hint="default"/>
        <w:sz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659818072">
    <w:abstractNumId w:val="1"/>
  </w:num>
  <w:num w:numId="2" w16cid:durableId="15342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FB2"/>
    <w:rsid w:val="00052FB2"/>
    <w:rsid w:val="00130F08"/>
    <w:rsid w:val="002169FA"/>
    <w:rsid w:val="004F43B4"/>
    <w:rsid w:val="005C485A"/>
    <w:rsid w:val="00A01A79"/>
    <w:rsid w:val="00E17A1B"/>
    <w:rsid w:val="00E90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58CA"/>
  <w15:chartTrackingRefBased/>
  <w15:docId w15:val="{8533DE6A-4E40-4F8B-AE57-D6E4DB79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FB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F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Boróka Mikó</dc:creator>
  <cp:keywords/>
  <dc:description/>
  <cp:lastModifiedBy>Kovacs Anna</cp:lastModifiedBy>
  <cp:revision>5</cp:revision>
  <dcterms:created xsi:type="dcterms:W3CDTF">2023-02-09T12:53:00Z</dcterms:created>
  <dcterms:modified xsi:type="dcterms:W3CDTF">2023-02-13T16:37:00Z</dcterms:modified>
</cp:coreProperties>
</file>