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2272 din 30 octombrie 2013</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bookmarkStart w:id="0" w:name="_GoBack"/>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Procedurii de aplicare a prevederilor </w:t>
      </w:r>
      <w:r>
        <w:rPr>
          <w:rFonts w:ascii="Times New Roman" w:hAnsi="Times New Roman" w:cs="Times New Roman"/>
          <w:color w:val="008000"/>
          <w:sz w:val="28"/>
          <w:szCs w:val="28"/>
          <w:u w:val="single"/>
        </w:rPr>
        <w:t>art. 42</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448/2006 privind protecţia şi promovarea drepturilor persoanelor cu handicap</w:t>
      </w:r>
      <w:bookmarkEnd w:id="0"/>
      <w:r>
        <w:rPr>
          <w:rFonts w:ascii="Times New Roman" w:hAnsi="Times New Roman" w:cs="Times New Roman"/>
          <w:sz w:val="28"/>
          <w:szCs w:val="28"/>
        </w:rPr>
        <w:t xml:space="preserve">, coroborate cu cele ale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77</w:t>
      </w:r>
      <w:r>
        <w:rPr>
          <w:rFonts w:ascii="Times New Roman" w:hAnsi="Times New Roman" w:cs="Times New Roman"/>
          <w:sz w:val="28"/>
          <w:szCs w:val="28"/>
        </w:rPr>
        <w:t xml:space="preserve"> din Legea nr. 263/2010 privind sistemul unitar de pensii publice</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MUNCII, FAMILIEI, PROTECŢIEI SOCIALE ŞI PERSOANELOR VÂRSTNICE</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PUBLICAT  ÎN</w:t>
      </w:r>
      <w:proofErr w:type="gramEnd"/>
      <w:r>
        <w:rPr>
          <w:rFonts w:ascii="Times New Roman" w:hAnsi="Times New Roman" w:cs="Times New Roman"/>
          <w:sz w:val="28"/>
          <w:szCs w:val="28"/>
        </w:rPr>
        <w:t>: MONITORUL OFICIAL  NR. 691 din 12 noiembrie 2013</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Având în vedere:</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448/2006</w:t>
      </w:r>
      <w:r>
        <w:rPr>
          <w:rFonts w:ascii="Times New Roman" w:hAnsi="Times New Roman" w:cs="Times New Roman"/>
          <w:sz w:val="28"/>
          <w:szCs w:val="28"/>
        </w:rPr>
        <w:t xml:space="preserve"> privind protecţia şi promovarea drepturilor persoanelor cu handicap, republicată, cu modificările şi completările ulterioare;</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8000"/>
          <w:sz w:val="28"/>
          <w:szCs w:val="28"/>
          <w:u w:val="single"/>
        </w:rPr>
        <w:t>Legea nr. 263/2010</w:t>
      </w:r>
      <w:r>
        <w:rPr>
          <w:rFonts w:ascii="Times New Roman" w:hAnsi="Times New Roman" w:cs="Times New Roman"/>
          <w:sz w:val="28"/>
          <w:szCs w:val="28"/>
        </w:rPr>
        <w:t xml:space="preserve"> privind sistemul unitar de pensii publice, cu modificările şi completările ulterioare;</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10/2013</w:t>
      </w:r>
      <w:r>
        <w:rPr>
          <w:rFonts w:ascii="Times New Roman" w:hAnsi="Times New Roman" w:cs="Times New Roman"/>
          <w:sz w:val="28"/>
          <w:szCs w:val="28"/>
        </w:rPr>
        <w:t xml:space="preserve"> privind organizarea şi funcţionarea Ministerului Muncii, Familiei, Protecţiei Sociale şi Persoanelor Vârstnice, cu modificările şi completările ulterioare,</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baza </w:t>
      </w:r>
      <w:r>
        <w:rPr>
          <w:rFonts w:ascii="Times New Roman" w:hAnsi="Times New Roman" w:cs="Times New Roman"/>
          <w:color w:val="008000"/>
          <w:sz w:val="28"/>
          <w:szCs w:val="28"/>
          <w:u w:val="single"/>
        </w:rPr>
        <w:t>art. 12</w:t>
      </w:r>
      <w:r>
        <w:rPr>
          <w:rFonts w:ascii="Times New Roman" w:hAnsi="Times New Roman" w:cs="Times New Roman"/>
          <w:sz w:val="28"/>
          <w:szCs w:val="28"/>
        </w:rPr>
        <w:t xml:space="preserve"> din Hotărârea Guvernului nr. 10/2013, cu modificările şi completările ulterioare,</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ministrul</w:t>
      </w:r>
      <w:proofErr w:type="gramEnd"/>
      <w:r>
        <w:rPr>
          <w:rFonts w:ascii="Times New Roman" w:hAnsi="Times New Roman" w:cs="Times New Roman"/>
          <w:sz w:val="28"/>
          <w:szCs w:val="28"/>
        </w:rPr>
        <w:t xml:space="preserve"> muncii, familiei, protecţiei sociale şi persoanelor vârstnice emite următorul ordin:</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Se aprobă Procedura de aplicare a prevederilor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42</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448/2006 privind protecţia şi promovarea drepturilor persoanelor cu handicap, coroborate cu cele ale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77</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263/2010 privind sistemul unitar de pensii publice, prevăzută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roofErr w:type="gramEnd"/>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Prevederile prezentului ordin se aplică de către casele teritoriale/sectoriale de pensii şi direcţiile generale de asistenţă socială şi protecţia copilului judeţene, respectiv locale ale sectoarelor municipiului Bucureşti.</w:t>
      </w:r>
      <w:proofErr w:type="gramEnd"/>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w:t>
      </w:r>
      <w:proofErr w:type="gramEnd"/>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muncii, familiei,</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protecţiei</w:t>
      </w:r>
      <w:proofErr w:type="gramEnd"/>
      <w:r>
        <w:rPr>
          <w:rFonts w:ascii="Times New Roman" w:hAnsi="Times New Roman" w:cs="Times New Roman"/>
          <w:sz w:val="28"/>
          <w:szCs w:val="28"/>
        </w:rPr>
        <w:t xml:space="preserve"> sociale şi persoanelor vârstnice,</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Teodor Codrin Scutaru,</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secretar</w:t>
      </w:r>
      <w:proofErr w:type="gramEnd"/>
      <w:r>
        <w:rPr>
          <w:rFonts w:ascii="Times New Roman" w:hAnsi="Times New Roman" w:cs="Times New Roman"/>
          <w:sz w:val="28"/>
          <w:szCs w:val="28"/>
        </w:rPr>
        <w:t xml:space="preserve"> de stat</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Bucureşti, 30 octombrie 2013.</w:t>
      </w:r>
      <w:proofErr w:type="gramEnd"/>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Nr. 2.272.</w:t>
      </w:r>
      <w:proofErr w:type="gramEnd"/>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ANEXA 1</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PROCEDURĂ</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de</w:t>
      </w:r>
      <w:proofErr w:type="gramEnd"/>
      <w:r>
        <w:rPr>
          <w:rFonts w:ascii="Times New Roman" w:hAnsi="Times New Roman" w:cs="Times New Roman"/>
          <w:sz w:val="28"/>
          <w:szCs w:val="28"/>
        </w:rPr>
        <w:t xml:space="preserve"> aplicare a prevederilor </w:t>
      </w:r>
      <w:r>
        <w:rPr>
          <w:rFonts w:ascii="Times New Roman" w:hAnsi="Times New Roman" w:cs="Times New Roman"/>
          <w:color w:val="008000"/>
          <w:sz w:val="28"/>
          <w:szCs w:val="28"/>
          <w:u w:val="single"/>
        </w:rPr>
        <w:t>art. 42</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448/2006 privind protecţia şi promovarea drepturilor persoanelor cu handicap, coroborate cu cele ale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77</w:t>
      </w:r>
      <w:r>
        <w:rPr>
          <w:rFonts w:ascii="Times New Roman" w:hAnsi="Times New Roman" w:cs="Times New Roman"/>
          <w:sz w:val="28"/>
          <w:szCs w:val="28"/>
        </w:rPr>
        <w:t xml:space="preserve"> din Legea nr. 263/2010 privind sistemul unitar de pensii publice</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Având în vedere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35</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448/2006 privind protecţia şi promovarea drepturilor persoanelor cu handicap, republicată, cu modificările şi completările ulterioare, denumită în continuare Legea nr.</w:t>
      </w:r>
      <w:proofErr w:type="gramEnd"/>
      <w:r>
        <w:rPr>
          <w:rFonts w:ascii="Times New Roman" w:hAnsi="Times New Roman" w:cs="Times New Roman"/>
          <w:sz w:val="28"/>
          <w:szCs w:val="28"/>
        </w:rPr>
        <w:t xml:space="preserve"> 448/2006, potrivit cărora persoana cu handicap grav are dreptul, în baza evaluării medico-psihosociale, la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asistent personal,</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luând</w:t>
      </w:r>
      <w:proofErr w:type="gramEnd"/>
      <w:r>
        <w:rPr>
          <w:rFonts w:ascii="Times New Roman" w:hAnsi="Times New Roman" w:cs="Times New Roman"/>
          <w:sz w:val="28"/>
          <w:szCs w:val="28"/>
        </w:rPr>
        <w:t xml:space="preserve"> în considerare dispoziţiile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263/2010 privind sistemul unitar de pensii publice, cu modificările şi completările ulterioare, denumită în continuare Legea nr.</w:t>
      </w:r>
      <w:proofErr w:type="gramEnd"/>
      <w:r>
        <w:rPr>
          <w:rFonts w:ascii="Times New Roman" w:hAnsi="Times New Roman" w:cs="Times New Roman"/>
          <w:sz w:val="28"/>
          <w:szCs w:val="28"/>
        </w:rPr>
        <w:t xml:space="preserve"> 263/2010, potrivit cărora pensionarii de invaliditate încadraţi în gradul I de invaliditate au dreptul, în afara pensiei, la o indemnizaţie pentru însoţitor, în cuantum fix,</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stabilesc următoarele:</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Persoana cu handicap grav cu drept la asistent personal, </w:t>
      </w:r>
      <w:proofErr w:type="gramStart"/>
      <w:r>
        <w:rPr>
          <w:rFonts w:ascii="Times New Roman" w:hAnsi="Times New Roman" w:cs="Times New Roman"/>
          <w:sz w:val="28"/>
          <w:szCs w:val="28"/>
        </w:rPr>
        <w:t>care are</w:t>
      </w:r>
      <w:proofErr w:type="gramEnd"/>
      <w:r>
        <w:rPr>
          <w:rFonts w:ascii="Times New Roman" w:hAnsi="Times New Roman" w:cs="Times New Roman"/>
          <w:sz w:val="28"/>
          <w:szCs w:val="28"/>
        </w:rPr>
        <w:t xml:space="preserve"> şi calitatea de pensionar de invaliditate gradul I, poate opta pentru indemnizaţia pentru însoţitor prevăzută la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263/2010 sau pentru asistent personal.</w:t>
      </w:r>
      <w:proofErr w:type="gramEnd"/>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opţiunea se exprimă pentru asistent personal, persoana cu handicap grav, care are şi calitatea de pensionar de invaliditate gradul I, poate opta pentru angajarea asistentului personal sau pentru primirea indemnizaţiei lunare prevăzute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448/2006, respectiv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indemnizaţiei de însoţitor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448/2006, în cazul persoanei cu handicap vizual grav.</w:t>
      </w:r>
      <w:proofErr w:type="gramEnd"/>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Dreptul la angajarea unui asistent personal sau acordarea indemnizaţiei lunare prevăzute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448/2006, respectiv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indemnizaţiei de însoţitor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 xml:space="preserve">448/2006, în cazul persoanei cu handicap vizual grav, nu poate fi cumulat cu dreptul la acordarea indemnizaţiei pentru însoţitor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77</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263/2010.</w:t>
      </w:r>
      <w:proofErr w:type="gramEnd"/>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Opţiunea pentru unul dintre drepturile prevăzute la alin. (3)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exercită de la data de la care beneficiarii acestora se încadrează atât în categoria pensionarilor de invaliditate gradul I, cât şi în cea a persoanelor cu handicap grav, cu drept la asistent personal.</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încadrarea persoanei în grad de handicap grav, cu drept la asistent personal,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ulterioară înscrierii la pensie de invaliditate gradul I, opţiunea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exprimă prin cerere adresată direcţiei </w:t>
      </w:r>
      <w:r>
        <w:rPr>
          <w:rFonts w:ascii="Times New Roman" w:hAnsi="Times New Roman" w:cs="Times New Roman"/>
          <w:sz w:val="28"/>
          <w:szCs w:val="28"/>
        </w:rPr>
        <w:lastRenderedPageBreak/>
        <w:t>generale de asistenţă socială şi protecţia copilului judeţene, respectiv a sectorului municipiului Bucureşti, denumită în continuare DGASPC, din raza teritorială de domiciliu al persoanei.</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se întocmeşte în două exemplare, din care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exemplar se păstrează la DGASPC, iar celălalt exemplar se transmite, de către DGASPC, casei teritoriale/sectoriale de pensii în evidenţa căreia se află dosarul de pensie de invaliditate gradul I al persoanei în cauză, modelul cererii fiind prevăzut în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care face parte integrantă din prezenta procedură.</w:t>
      </w:r>
      <w:proofErr w:type="gramEnd"/>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beneficiarul optează pentru asistent personal/indemnizaţie lunară prevăzută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448/2006, DGASPC transmite o copie a cererii primăriei în raza căreia se află domiciliul persoanei cu handicap.</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înscrierea la pensie de invaliditate gradul 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ulterioară încadrării în grad de handicap grav cu drept la asistent personal, opţiunea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exprimă prin cerere adresată casei teritoriale/sectoriale de pensii, odată cu depunerea dosarului administrativ de pensie.</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se întocmeşte în două exemplare, din care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exemplar se păstrează la casa teritorială/sectorială de pensii în evidenţa căreia se află dosarul de pensie, iar celălalt exemplar se transmite, de către casa teritorială/sectorială de pensii, la DGASPC. În cazul în care opţiunea exprimată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pentru asistent personal/indemnizaţie lunară prevăzută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448/2006, DGASPC transmite, ulterior, o copie a cererii către primăria în raza căreia se află domiciliul persoanei cu handicap, modelul acestei cereri fiind prevăzut în </w:t>
      </w:r>
      <w:r>
        <w:rPr>
          <w:rFonts w:ascii="Times New Roman" w:hAnsi="Times New Roman" w:cs="Times New Roman"/>
          <w:color w:val="008000"/>
          <w:sz w:val="28"/>
          <w:szCs w:val="28"/>
          <w:u w:val="single"/>
        </w:rPr>
        <w:t xml:space="preserve">anexa nr. </w:t>
      </w:r>
      <w:proofErr w:type="gramStart"/>
      <w:r>
        <w:rPr>
          <w:rFonts w:ascii="Times New Roman" w:hAnsi="Times New Roman" w:cs="Times New Roman"/>
          <w:color w:val="008000"/>
          <w:sz w:val="28"/>
          <w:szCs w:val="28"/>
          <w:u w:val="single"/>
        </w:rPr>
        <w:t>2</w:t>
      </w:r>
      <w:r>
        <w:rPr>
          <w:rFonts w:ascii="Times New Roman" w:hAnsi="Times New Roman" w:cs="Times New Roman"/>
          <w:sz w:val="28"/>
          <w:szCs w:val="28"/>
        </w:rPr>
        <w:t>, care face parte integrantă din prezenta procedură.</w:t>
      </w:r>
      <w:proofErr w:type="gramEnd"/>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Cererile prin care beneficiarii îşi exprimă opţiunea prevăzută la </w:t>
      </w:r>
      <w:r>
        <w:rPr>
          <w:rFonts w:ascii="Times New Roman" w:hAnsi="Times New Roman" w:cs="Times New Roman"/>
          <w:color w:val="008000"/>
          <w:sz w:val="28"/>
          <w:szCs w:val="28"/>
          <w:u w:val="single"/>
        </w:rPr>
        <w:t>art. 1</w:t>
      </w:r>
      <w:r>
        <w:rPr>
          <w:rFonts w:ascii="Times New Roman" w:hAnsi="Times New Roman" w:cs="Times New Roman"/>
          <w:sz w:val="28"/>
          <w:szCs w:val="28"/>
        </w:rPr>
        <w:t>, conform prezentei proceduri, pot fi depuse de către titularul dreptului, personal sau, după caz, prin reprezentantul său legal sau mandatar.</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2</w:t>
      </w:r>
      <w:r>
        <w:rPr>
          <w:rFonts w:ascii="Times New Roman" w:hAnsi="Times New Roman" w:cs="Times New Roman"/>
          <w:sz w:val="28"/>
          <w:szCs w:val="28"/>
        </w:rPr>
        <w:t xml:space="preserve"> - 4 se aplică şi în cazul în care, ca urmare a reevaluării/revizuirii medicale, persoana deţine atât calitatea de persoană cu handicap grav, cu drept la asistent personal, cât şi calitatea de pensionar de invaliditate gradul I.</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Schimbarea ulterioară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opţiunii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3</w:t>
      </w:r>
      <w:r>
        <w:rPr>
          <w:rFonts w:ascii="Times New Roman" w:hAnsi="Times New Roman" w:cs="Times New Roman"/>
          <w:sz w:val="28"/>
          <w:szCs w:val="28"/>
        </w:rPr>
        <w:t xml:space="preserve">, inclusiv după data trecerii la pensie pentru limită de vârstă, se exprimă prin cerere adresată casei teritoriale/sectoriale de pensii sau, după caz, DGASPC, în funcţie de drepturile pentru care optează persoana. În această situaţie suspendarea plăţii drepturilor incompatibile se face începând cu </w:t>
      </w:r>
      <w:proofErr w:type="gramStart"/>
      <w:r>
        <w:rPr>
          <w:rFonts w:ascii="Times New Roman" w:hAnsi="Times New Roman" w:cs="Times New Roman"/>
          <w:sz w:val="28"/>
          <w:szCs w:val="28"/>
        </w:rPr>
        <w:t>luna</w:t>
      </w:r>
      <w:proofErr w:type="gramEnd"/>
      <w:r>
        <w:rPr>
          <w:rFonts w:ascii="Times New Roman" w:hAnsi="Times New Roman" w:cs="Times New Roman"/>
          <w:sz w:val="28"/>
          <w:szCs w:val="28"/>
        </w:rPr>
        <w:t xml:space="preserve"> următoare celei în care a fost înregistrată cererea la una din cele două instituţii, în scopul de a evita cumulul celor două tipuri de drepturi.</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DGASPC gestionează toate informaţiile referitoare la persoanele cu handicap grav, inclusiv cele referitoare la opţiunile acestora: angajarea asistenţilor personali şi plata indemnizaţiilor efectuate de către DGASPC sau, după caz, de către primăria în raza căreia se află domiciliul persoanei cu handicap grav.</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Schimbul de date între casele teritoriale/sectoriale de pensii şi DGASPC, cu privire la persoanele cu handicap grav cu drept la asistent personal şi pensionarii de invaliditate gradul I, se efectuează lunar, până la data de 5 a fiecărei luni, pe baza protocoalelor de colaborare încheiate între aceste instituţii.</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baza protocolului de colaborare prevăzut la alin. (1)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transmit lunar liste cuprinzând următoarele informaţii:</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numele/prenumele beneficiarului;</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adresa</w:t>
      </w:r>
      <w:proofErr w:type="gramEnd"/>
      <w:r>
        <w:rPr>
          <w:rFonts w:ascii="Times New Roman" w:hAnsi="Times New Roman" w:cs="Times New Roman"/>
          <w:sz w:val="28"/>
          <w:szCs w:val="28"/>
        </w:rPr>
        <w:t xml:space="preserve"> de domiciliu a beneficiarului conform actului de identitate;</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codul</w:t>
      </w:r>
      <w:proofErr w:type="gramEnd"/>
      <w:r>
        <w:rPr>
          <w:rFonts w:ascii="Times New Roman" w:hAnsi="Times New Roman" w:cs="Times New Roman"/>
          <w:sz w:val="28"/>
          <w:szCs w:val="28"/>
        </w:rPr>
        <w:t xml:space="preserve"> numeric personal;</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dreptul</w:t>
      </w:r>
      <w:proofErr w:type="gramEnd"/>
      <w:r>
        <w:rPr>
          <w:rFonts w:ascii="Times New Roman" w:hAnsi="Times New Roman" w:cs="Times New Roman"/>
          <w:sz w:val="28"/>
          <w:szCs w:val="28"/>
        </w:rPr>
        <w:t xml:space="preserve"> de care beneficiază: asistent personal/indemnizaţie lunară prevăzută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448/2006, indemnizaţie de însoţitor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 xml:space="preserve">448/2006, în cazul persoanei cu handicap vizual grav/indemnizaţia pentru însoţitor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77</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263/2010.</w:t>
      </w:r>
      <w:proofErr w:type="gramEnd"/>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se constată că o persoană beneficiază, prin cumul, atât de indemnizaţia pentru însoţitor prevăzută la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263/2010, cât şi de asistent personal/indemnizaţie lunară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43</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448/2006, respectiv de indemnizaţie de însoţitor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 xml:space="preserve">448/2006, plata drepturilor prevăzute de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448/2006</w:t>
      </w:r>
      <w:r>
        <w:rPr>
          <w:rFonts w:ascii="Times New Roman" w:hAnsi="Times New Roman" w:cs="Times New Roman"/>
          <w:sz w:val="28"/>
          <w:szCs w:val="28"/>
        </w:rPr>
        <w:t xml:space="preserve"> se suspendă până la data la care beneficiarul îşi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exprima opţiunea în condiţiile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- 4.</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Sarcina constituirii şi recuperării debitelor, în limita termenului de prescripţie extinctivă, reprezentând drepturi încasate necuvenit, revine instituţiei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acordat dreptul pentru care persoana nu a optat.</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procedură</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CERERE*1)</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Subsemnatul(</w:t>
      </w:r>
      <w:proofErr w:type="gramEnd"/>
      <w:r>
        <w:rPr>
          <w:rFonts w:ascii="Times New Roman" w:hAnsi="Times New Roman" w:cs="Times New Roman"/>
          <w:sz w:val="28"/>
          <w:szCs w:val="28"/>
        </w:rPr>
        <w:t xml:space="preserve">a), ....................................., având codul numeric personal ........................., domiciliat(ă) în localitatea ............, str. .................. nr.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ap. ..., judeţul .............., posesor/posesoare al (a) actului de identitate seria ....... nr.</w:t>
      </w:r>
      <w:proofErr w:type="gramEnd"/>
      <w:r>
        <w:rPr>
          <w:rFonts w:ascii="Times New Roman" w:hAnsi="Times New Roman" w:cs="Times New Roman"/>
          <w:sz w:val="28"/>
          <w:szCs w:val="28"/>
        </w:rPr>
        <w:t xml:space="preserve"> .........., eliberat </w:t>
      </w:r>
      <w:proofErr w:type="gramStart"/>
      <w:r>
        <w:rPr>
          <w:rFonts w:ascii="Times New Roman" w:hAnsi="Times New Roman" w:cs="Times New Roman"/>
          <w:sz w:val="28"/>
          <w:szCs w:val="28"/>
        </w:rPr>
        <w:t>de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data de ........., născut(ă) la data de ..............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localitatea/judeţul .................., fiul (fiica) lui .................. şi al (a) ..............................., pensionar de invaliditate gradul I, potrivit Deciziei medicale asupra capacităţii de muncă nr. ..........., emisă de </w:t>
      </w:r>
      <w:r>
        <w:rPr>
          <w:rFonts w:ascii="Times New Roman" w:hAnsi="Times New Roman" w:cs="Times New Roman"/>
          <w:sz w:val="28"/>
          <w:szCs w:val="28"/>
        </w:rPr>
        <w:lastRenderedPageBreak/>
        <w:t xml:space="preserve">.................., persoană cu handicap grav cu drept la asistent personal, potrivit Certificatului de încadrare în grad de handicap nr. </w:t>
      </w:r>
      <w:proofErr w:type="gramStart"/>
      <w:r>
        <w:rPr>
          <w:rFonts w:ascii="Times New Roman" w:hAnsi="Times New Roman" w:cs="Times New Roman"/>
          <w:sz w:val="28"/>
          <w:szCs w:val="28"/>
        </w:rPr>
        <w:t xml:space="preserve">............, eliberat de ................., cunoscând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42</w:t>
      </w:r>
      <w:r>
        <w:rPr>
          <w:rFonts w:ascii="Times New Roman" w:hAnsi="Times New Roman" w:cs="Times New Roman"/>
          <w:sz w:val="28"/>
          <w:szCs w:val="28"/>
        </w:rPr>
        <w:t xml:space="preserve"> din Legea nr. 448/2006 privind protecţia şi promovarea drepturilor persoanelor cu handicap, republicată, cu modificările şi completările ulterioare, şi prevederile din </w:t>
      </w:r>
      <w:r>
        <w:rPr>
          <w:rFonts w:ascii="Times New Roman" w:hAnsi="Times New Roman" w:cs="Times New Roman"/>
          <w:color w:val="008000"/>
          <w:sz w:val="28"/>
          <w:szCs w:val="28"/>
          <w:u w:val="single"/>
        </w:rPr>
        <w:t>Codul penal</w:t>
      </w:r>
      <w:r>
        <w:rPr>
          <w:rFonts w:ascii="Times New Roman" w:hAnsi="Times New Roman" w:cs="Times New Roman"/>
          <w:sz w:val="28"/>
          <w:szCs w:val="28"/>
        </w:rPr>
        <w:t xml:space="preserve"> privind falsul în declaraţii, declar pe propria răspundere că, la data prezentei, beneficiez/nu beneficiez de indemnizaţie de însoţitor prevăzută la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263/2010 privind sistemul unitar de pensii publice, cu modificările şi completările ulterioare, şi optez pentru:</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asistent</w:t>
      </w:r>
      <w:proofErr w:type="gramEnd"/>
      <w:r>
        <w:rPr>
          <w:rFonts w:ascii="Times New Roman" w:hAnsi="Times New Roman" w:cs="Times New Roman"/>
          <w:sz w:val="28"/>
          <w:szCs w:val="28"/>
        </w:rPr>
        <w:t xml:space="preserve"> personal;</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indemnizaţie</w:t>
      </w:r>
      <w:proofErr w:type="gramEnd"/>
      <w:r>
        <w:rPr>
          <w:rFonts w:ascii="Times New Roman" w:hAnsi="Times New Roman" w:cs="Times New Roman"/>
          <w:sz w:val="28"/>
          <w:szCs w:val="28"/>
        </w:rPr>
        <w:t xml:space="preserve"> lunară prevăzută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448/2006, republicată, cu modificările şi completările ulterioare, respectiv indemnizaţie de însoţitor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din aceeaşi lege, în cazul persoanei cu handicap vizual grav;</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indemnizaţie</w:t>
      </w:r>
      <w:proofErr w:type="gramEnd"/>
      <w:r>
        <w:rPr>
          <w:rFonts w:ascii="Times New Roman" w:hAnsi="Times New Roman" w:cs="Times New Roman"/>
          <w:sz w:val="28"/>
          <w:szCs w:val="28"/>
        </w:rPr>
        <w:t xml:space="preserve"> de însoţitor prevăzută la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263/2010, cu modificările şi completările ulterioare.</w:t>
      </w:r>
      <w:proofErr w:type="gramEnd"/>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65677C" w:rsidRDefault="0065677C" w:rsidP="0065677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65677C" w:rsidRDefault="0065677C" w:rsidP="0065677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cerere se întocmeşte în două exemplare, din care un exemplar rămâne la direcţia generală de asistenţă socială şi protecţia copilului judeţeană, respectiv a sectorului municipiului Bucureşti, iar celălalt exemplar se transmite, de către direcţia generală de asistenţă socială şi protecţia copilului judeţeană, respectiv a sectorului municipiului Bucureşti, casei teritoriale/sectoriale de pensii.</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procedură</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CERERE*1)</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Subsemnatul(</w:t>
      </w:r>
      <w:proofErr w:type="gramEnd"/>
      <w:r>
        <w:rPr>
          <w:rFonts w:ascii="Times New Roman" w:hAnsi="Times New Roman" w:cs="Times New Roman"/>
          <w:sz w:val="28"/>
          <w:szCs w:val="28"/>
        </w:rPr>
        <w:t xml:space="preserve">a) ............................., având codul numeric personal ............................, domiciliat(ă) în localitatea .................., str. ................... nr.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ap. ...., judeţul ................, posesor/posesoare al (a) actului de identitate seria ....... nr.</w:t>
      </w:r>
      <w:proofErr w:type="gramEnd"/>
      <w:r>
        <w:rPr>
          <w:rFonts w:ascii="Times New Roman" w:hAnsi="Times New Roman" w:cs="Times New Roman"/>
          <w:sz w:val="28"/>
          <w:szCs w:val="28"/>
        </w:rPr>
        <w:t xml:space="preserve"> ............, eliberat </w:t>
      </w:r>
      <w:proofErr w:type="gramStart"/>
      <w:r>
        <w:rPr>
          <w:rFonts w:ascii="Times New Roman" w:hAnsi="Times New Roman" w:cs="Times New Roman"/>
          <w:sz w:val="28"/>
          <w:szCs w:val="28"/>
        </w:rPr>
        <w:t>de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data de .........., născut(ă) la data de ............. în localitatea/judeţul ..................., fiul (fiica) lui ...................... şi al (a) ..........................., persoană cu handicap grav cu drept la asistent personal potrivit Certificatului de încadrare în grad de handicap nr. </w:t>
      </w:r>
      <w:proofErr w:type="gramStart"/>
      <w:r>
        <w:rPr>
          <w:rFonts w:ascii="Times New Roman" w:hAnsi="Times New Roman" w:cs="Times New Roman"/>
          <w:sz w:val="28"/>
          <w:szCs w:val="28"/>
        </w:rPr>
        <w:t xml:space="preserve">............, eliberat de .............., încadrată în gradul I de invaliditate, potrivit </w:t>
      </w:r>
      <w:r>
        <w:rPr>
          <w:rFonts w:ascii="Times New Roman" w:hAnsi="Times New Roman" w:cs="Times New Roman"/>
          <w:sz w:val="28"/>
          <w:szCs w:val="28"/>
        </w:rPr>
        <w:lastRenderedPageBreak/>
        <w:t>Deciziei medicale asupra capacităţii de muncă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emisă de ..................., cunoscând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42</w:t>
      </w:r>
      <w:r>
        <w:rPr>
          <w:rFonts w:ascii="Times New Roman" w:hAnsi="Times New Roman" w:cs="Times New Roman"/>
          <w:sz w:val="28"/>
          <w:szCs w:val="28"/>
        </w:rPr>
        <w:t xml:space="preserve"> din Legea nr. 448/2006 privind protecţia şi promovarea drepturilor persoanelor cu handicap, republicată, cu modificările şi completările ulterioare, şi prevederile din </w:t>
      </w:r>
      <w:r>
        <w:rPr>
          <w:rFonts w:ascii="Times New Roman" w:hAnsi="Times New Roman" w:cs="Times New Roman"/>
          <w:color w:val="008000"/>
          <w:sz w:val="28"/>
          <w:szCs w:val="28"/>
          <w:u w:val="single"/>
        </w:rPr>
        <w:t>Codul penal</w:t>
      </w:r>
      <w:r>
        <w:rPr>
          <w:rFonts w:ascii="Times New Roman" w:hAnsi="Times New Roman" w:cs="Times New Roman"/>
          <w:sz w:val="28"/>
          <w:szCs w:val="28"/>
        </w:rPr>
        <w:t xml:space="preserve"> privind falsul în declaraţii, declar pe propria răspundere că, la data prezentei, beneficiez/nu beneficiez de asistent personal/indemnizaţie lunară prevăzută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448/2006, republicată, cu modificările şi completările ulterioare, respectiv indemnizaţie de însoţitor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aceeaşi lege, în cazul persoanei cu handicap vizual grav, şi optez pentru:</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asistent</w:t>
      </w:r>
      <w:proofErr w:type="gramEnd"/>
      <w:r>
        <w:rPr>
          <w:rFonts w:ascii="Times New Roman" w:hAnsi="Times New Roman" w:cs="Times New Roman"/>
          <w:sz w:val="28"/>
          <w:szCs w:val="28"/>
        </w:rPr>
        <w:t xml:space="preserve"> personal;</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indemnizaţie</w:t>
      </w:r>
      <w:proofErr w:type="gramEnd"/>
      <w:r>
        <w:rPr>
          <w:rFonts w:ascii="Times New Roman" w:hAnsi="Times New Roman" w:cs="Times New Roman"/>
          <w:sz w:val="28"/>
          <w:szCs w:val="28"/>
        </w:rPr>
        <w:t xml:space="preserve"> lunară prevăzută la </w:t>
      </w:r>
      <w:r>
        <w:rPr>
          <w:rFonts w:ascii="Times New Roman" w:hAnsi="Times New Roman" w:cs="Times New Roman"/>
          <w:color w:val="008000"/>
          <w:sz w:val="28"/>
          <w:szCs w:val="28"/>
          <w:u w:val="single"/>
        </w:rPr>
        <w:t>art. 43</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 xml:space="preserve">448/2006, republicată, cu modificările şi completările ulterioare, respectiv indemnizaţie de însoţitor prevăzută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58</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din aceeaşi lege, în cazul persoanei cu handicap vizual grav;</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indemnizaţie</w:t>
      </w:r>
      <w:proofErr w:type="gramEnd"/>
      <w:r>
        <w:rPr>
          <w:rFonts w:ascii="Times New Roman" w:hAnsi="Times New Roman" w:cs="Times New Roman"/>
          <w:sz w:val="28"/>
          <w:szCs w:val="28"/>
        </w:rPr>
        <w:t xml:space="preserve"> de însoţitor prevăzută la </w:t>
      </w:r>
      <w:r>
        <w:rPr>
          <w:rFonts w:ascii="Times New Roman" w:hAnsi="Times New Roman" w:cs="Times New Roman"/>
          <w:color w:val="008000"/>
          <w:sz w:val="28"/>
          <w:szCs w:val="28"/>
          <w:u w:val="single"/>
        </w:rPr>
        <w:t>art. 77</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263/2010 privind sistemul unitar de pensii publice, cu modificările şi completările ulterioare.</w:t>
      </w:r>
      <w:proofErr w:type="gramEnd"/>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Data</w:t>
      </w:r>
    </w:p>
    <w:p w:rsidR="0065677C" w:rsidRDefault="0065677C" w:rsidP="0065677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65677C" w:rsidRDefault="0065677C" w:rsidP="0065677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Semnătura</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cerere se întocmeşte în două exemplare, un exemplar va rămâne la casa teritorială/sectorială de pensii, celălalt exemplar se va transmite, de către casa teritorială/sectorială de pensii, direcţiei generale de asistenţă socială şi protecţia copilului judeţene, respectiv a sectorului municipiului Bucureşti.</w:t>
      </w:r>
    </w:p>
    <w:p w:rsidR="0065677C" w:rsidRDefault="0065677C" w:rsidP="0065677C">
      <w:pPr>
        <w:autoSpaceDE w:val="0"/>
        <w:autoSpaceDN w:val="0"/>
        <w:adjustRightInd w:val="0"/>
        <w:spacing w:after="0" w:line="240" w:lineRule="auto"/>
        <w:rPr>
          <w:rFonts w:ascii="Times New Roman" w:hAnsi="Times New Roman" w:cs="Times New Roman"/>
          <w:sz w:val="28"/>
          <w:szCs w:val="28"/>
        </w:rPr>
      </w:pPr>
    </w:p>
    <w:p w:rsidR="00522FB3" w:rsidRDefault="0065677C" w:rsidP="0065677C">
      <w:r>
        <w:rPr>
          <w:rFonts w:ascii="Times New Roman" w:hAnsi="Times New Roman" w:cs="Times New Roman"/>
          <w:sz w:val="28"/>
          <w:szCs w:val="28"/>
        </w:rPr>
        <w:t xml:space="preserve">                              ---------------</w:t>
      </w:r>
    </w:p>
    <w:sectPr w:rsidR="00522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7C"/>
    <w:rsid w:val="00522FB3"/>
    <w:rsid w:val="00656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2155</Words>
  <Characters>12288</Characters>
  <Application>Microsoft Office Word</Application>
  <DocSecurity>0</DocSecurity>
  <Lines>102</Lines>
  <Paragraphs>28</Paragraphs>
  <ScaleCrop>false</ScaleCrop>
  <Company/>
  <LinksUpToDate>false</LinksUpToDate>
  <CharactersWithSpaces>14415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Ganea Emanuela</dc:creator>
  <cp:lastModifiedBy>Ganea Emanuela</cp:lastModifiedBy>
  <cp:revision>1</cp:revision>
  <dcterms:created xsi:type="dcterms:W3CDTF">2020-06-03T07:13:00Z</dcterms:created>
  <dcterms:modified xsi:type="dcterms:W3CDTF">2020-06-03T07:14:00Z</dcterms:modified>
</cp:coreProperties>
</file>