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600 din 13 iunie 2007</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protecţia tinerilor la locul de muncă</w:t>
      </w:r>
      <w:bookmarkEnd w:id="0"/>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473 din 13 iulie 2007</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(1) lit. b) din Legea securităţii şi sănătăţii în muncă nr. 319/2006,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prezentei hotărâri au drept scop asigurarea protecţiei tinerilor împotriva exploatării economice, oricărei munci susceptibile să dăuneze securităţii, sănătăţii sau dezvoltării lor fizice, psihologice, morale ori sociale sau să pericliteze educaţia acestora.</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prezentei hotărâri se aplică oricărei persoane în vârstă de până la 18 ani care are încheiat un contract individual de muncă în conformitate cu legislaţia în vigoare.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hotărâri, termenii şi noţiunile folosite au următoarea semnificaţie: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tânăr - orice persoană în vârstă de cel puţin 15 ani şi de cel mult 18 ani;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copil - orice persoană care nu a atins vârsta de 15 ani sau orice tânăr în vârstă de cel puţin 15 ani şi de cel mult 18 ani care face încă obiectul şcolarizării obligatorii pe bază de program integral, stabilit de lege;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muncă uşoară - toate activităţile care, prin natura proprie sarcinilor pe care le presupun şi a condiţiilor specifice în care acestea sunt efectuate, nu pot prejudicia securitatea, sănătatea sau dezvoltarea copilului şi tânărului şi nu sunt de natură să prejudicieze frecvenţa şcolară, participarea la programe de orientare ori de formare profesională, aprobate de conducerea unităţii de învăţământ, sau capacitatea acestora de a beneficia de instruirea primită;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timp de lucru - orice perioadă în care tânărul prestează munca, se află la dispoziţia angajatorului şi îndeplineşte sarcinile şi atribuţiile sale, conform prevederilor contractului individual de muncă, contractului colectiv de muncă aplicabil şi/sau ale legislaţiei în vigoare;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perioadă de repaus - orice perioadă care nu este timp de lucru.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Angajatorul este obligat să asigure tinerilor condiţii de muncă adaptate vârstei 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Încadrarea în muncă a copiilor este interzisă.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Prin derogare de la prevederile alin. (1), copiii în vârstă de cel puţin 16 ani, care fac obiectul şcolarizării obligatorii, pe bază de program integral, pot încheia, în condiţiile legii, un contract individual de muncă în calitate de salariat pentru desfăşurarea de munci uşoare.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care face obiectul şcolarizării obligatorii pe bază de program integral poate încheia un contract individual de muncă şi la împlinirea vârstei de 15 ani, cu acordul părinţilor sau al reprezentanţilor legali, pentru desfăşurarea de activităţi potrivite cu dezvoltarea fizică, aptitudinile şi cunoştinţele sale, dacă astfel nu îi sunt periclitate sănătatea, dezvoltarea şi pregătirea profesională.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Angajatorul este obligat să ia măsurile necesare pentru asigurarea securităţii şi protejarea sănătăţii tinerilor, ţinând seama, în special, de riscurile specifice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Angajatorul trebuie să pună în practică măsurile prevăzute la alin. (1), pe baza evaluării riscurilor existente pentru tineri şi legate de munca acestora.</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prevăzută la alin. (2) trebuie să fie efectuată înainte ca tinerii să înceapă munca şi la orice modificare semnificativă a condiţiilor de muncă şi trebuie să vizeze, în principal, următoarele elemente: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echipamentul de muncă şi organizarea locului de muncă şi a postului de lucru;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natura, nivelul şi durata expunerii la agenţi fizici, biologici şi chimici;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organizarea, categoria şi modul de utilizare a echipamentelor de muncă, în special a agenţilor prevăzuţi la lit. b), maşinilor, aparatelor şi dispozitivelor, precum şi manipularea acestora;</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stabilirea procedeelor de muncă şi a desfăşurării muncii şi interacţiunea acestora, respectiv organizarea muncii;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nivelul pregătirii profesionale şi al instruirii acordate tinerilor.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evaluarea prevăzută la alin. (2) demonstrează existenţa unui risc pentru securitatea, sănătatea fizică sau mentală ori dezvoltarea tinerilor, angajatorul are obligaţia de a asigura evaluarea şi supravegherea sănătăţii tinerilor, la intervale regulate, în mod gratuit şi adecvat, în conformitate cu reglementările în vigoare.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Angajatorul este obligat să informeze, în scris, tinerii asupra eventualelor riscuri şi asupra tuturor măsurilor luate în ceea ce priveşte securitatea şi sănătatea 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Angajatorul este obligat să informeze, în scris, părinţii sau reprezentanţii legali ai copiilor angajaţi în condiţiile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(3) asupra tuturor măsurilor luate în ceea ce priveşte securitatea şi sănătatea 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Angajatorul apelează la serviciile de prevenire şi protecţie,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din Legea securităţii şi sănătăţii în muncă nr. 319/2006, în vederea planificării, </w:t>
      </w:r>
      <w:r>
        <w:rPr>
          <w:rFonts w:ascii="Times New Roman" w:hAnsi="Times New Roman" w:cs="Times New Roman"/>
          <w:sz w:val="28"/>
          <w:szCs w:val="28"/>
        </w:rPr>
        <w:lastRenderedPageBreak/>
        <w:t>aplicării şi controlului condiţiilor de securitate şi de sănătate aplicabile în munca tinerilor, conform prevederilor legale în vigoare.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Angajatorul are obligaţia de a proteja tinerii împotriva riscurilor specifice pentru securitatea, sănătatea şi dezvoltarea lor, riscuri care rezultă din lipsa lor de experienţă, din conştientizarea insuficientă a riscurilor existente sau potenţiale ori din faptul că tinerii sunt încă în dezvoltare.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Fără a aduce atingere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şi în scopul prevăzut la alin. (1) este interzisă angajarea tinerilor pentru activităţi care: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depăşesc în mod evident capacităţile lor fizice sau psihologice;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implică o expunere nocivă la agenţi toxici, cancerigeni, care determină modificări genetice ereditare, având efecte nocive pentru făt pe durata gravidităţii sau având orice alt efect nociv cronic asupra fiinţei umane;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implică o expunere nocivă la radiaţii;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prezintă riscuri de accidentare, pe care se presupune că tinerii nu le pot identifica sau preveni, din cauza atenţiei insuficiente pe care o acordă securităţii în muncă, a lipsei lor de experienţă ori de pregătire;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pun în pericol sănătatea acestora din cauza frigului ori a căldurii extreme sau din cauza zgomotului ori a vibraţiilor.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Printre activităţile şi procedeele care sunt susceptibile să antreneze riscuri specifice pentru tineri, în sensul prevederilor alin. (1), figurează, în special:</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activităţile care implică o expunere nocivă la agenţii fizici, biologici şi chimici prevăzuţi la pct. I din </w:t>
      </w:r>
      <w:r>
        <w:rPr>
          <w:rFonts w:ascii="Times New Roman" w:hAnsi="Times New Roman" w:cs="Times New Roman"/>
          <w:color w:val="008000"/>
          <w:sz w:val="28"/>
          <w:szCs w:val="28"/>
          <w:u w:val="single"/>
        </w:rPr>
        <w:t>anexă</w:t>
      </w:r>
      <w:r>
        <w:rPr>
          <w:rFonts w:ascii="Times New Roman" w:hAnsi="Times New Roman" w:cs="Times New Roman"/>
          <w:sz w:val="28"/>
          <w:szCs w:val="28"/>
        </w:rPr>
        <w:t>;</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procedeele şi activităţile prevăzute la pct. II din </w:t>
      </w:r>
      <w:r>
        <w:rPr>
          <w:rFonts w:ascii="Times New Roman" w:hAnsi="Times New Roman" w:cs="Times New Roman"/>
          <w:color w:val="008000"/>
          <w:sz w:val="28"/>
          <w:szCs w:val="28"/>
          <w:u w:val="single"/>
        </w:rPr>
        <w:t>anexă</w:t>
      </w:r>
      <w:r>
        <w:rPr>
          <w:rFonts w:ascii="Times New Roman" w:hAnsi="Times New Roman" w:cs="Times New Roman"/>
          <w:sz w:val="28"/>
          <w:szCs w:val="28"/>
        </w:rPr>
        <w:t>.</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tinerilor durata timpului de muncă este de maximum 6 ore/zi şi 30 de ore/săptămână.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tânărul cumulează mai multe funcţii în baza unor contracte individuale de muncă, timpul de muncă efectuat se însumează şi nu poate depăşi, cumulat, durata prevăzută la alin. (1).</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Tinerii nu pot presta muncă suplimentară.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Tinerii nu pot presta muncă de noapte.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Copiii angajaţi în condiţiile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(2) şi (3) nu pot presta muncă între orele 20,00 şi 6,00.</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Tinerii beneficiază de o pauză de masă de cel puţin 30 de minute consecutive, în cazul în care durata zilnică a timpului de muncă este mai mare de 4 ore şi jumătate.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Între două zile de muncă, tinerii beneficiază de o perioadă minimă de repaus de 12 ore consecutive.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Între două zile de muncă, copiii încadraţi în muncă conform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(2) şi (3) beneficiază de o perioadă minimă de repaus de 14 ore consecutive.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Tinerii beneficiază de o perioadă de repaus săptămânal de două zile consecutive, de regulă sâmbăta şi duminica.</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Tinerii beneficiază de un concediu de odihnă suplimentar de cel puţin 3 zile lucrătoare.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cazurile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(2) şi (3), angajatorii se asigură că perioada liberă de orice muncă este inclusă, în măsura posibilului, în cadrul vacanţelor şcolare ale copiilor care fac obiectul şcolarizării obligatorii pe bază de program integral, impusă de legislaţia naţională.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face parte integrantă din prezenta hotărâre.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 prevederile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muncii, solidarităţii sociale şi familiei nr. 753/2006 privind protecţia tinerilor în muncă, publicat în Monitorul Oficial al României, Partea I, nr. 925 din 15 noiembrie 2006.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transpune </w:t>
      </w:r>
      <w:r>
        <w:rPr>
          <w:rFonts w:ascii="Times New Roman" w:hAnsi="Times New Roman" w:cs="Times New Roman"/>
          <w:color w:val="008000"/>
          <w:sz w:val="28"/>
          <w:szCs w:val="28"/>
          <w:u w:val="single"/>
        </w:rPr>
        <w:t>Directiva</w:t>
      </w:r>
      <w:r>
        <w:rPr>
          <w:rFonts w:ascii="Times New Roman" w:hAnsi="Times New Roman" w:cs="Times New Roman"/>
          <w:sz w:val="28"/>
          <w:szCs w:val="28"/>
        </w:rPr>
        <w:t xml:space="preserve"> Consiliului nr. 94/33/CE din 22 iunie 1994 privind protecţia tinerilor la locul de muncă, publicată în Jurnalul Oficial al Comunităţilor Europene (JOCE) nr. L 216/1994.</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CĂLIN POPESCU-TĂRICEANU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familiei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egalităţii de şanse,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Paul Păcuraru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 publice,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Gheorghe Eugen Nicolăescu</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cercetării şi tineretului,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Cristian Mihai Adomniţei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13 iunie 2007.</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600.</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1</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cuprinzând agenţii, activităţile şi procedeele care pot antrena riscuri specifice pentru securitatea, sănătatea şi dezvoltarea tinerilor, la care se face referire în </w:t>
      </w:r>
      <w:r>
        <w:rPr>
          <w:rFonts w:ascii="Times New Roman" w:hAnsi="Times New Roman" w:cs="Times New Roman"/>
          <w:color w:val="008000"/>
          <w:sz w:val="28"/>
          <w:szCs w:val="28"/>
          <w:u w:val="single"/>
        </w:rPr>
        <w:t>art. 9</w:t>
      </w:r>
      <w:r>
        <w:rPr>
          <w:rFonts w:ascii="Times New Roman" w:hAnsi="Times New Roman" w:cs="Times New Roman"/>
          <w:sz w:val="28"/>
          <w:szCs w:val="28"/>
        </w:rPr>
        <w:t xml:space="preserve"> din hotărâre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Agenţi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Agenţi fizici: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radiaţiile ionizante;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munca în atmosferă hiperbarică, de exemplu în incintele presurizate, la scufundări subacvative.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Agenţi biologici: agenţii biologici din grupele 3 şi 4, în sensul prevederilor </w:t>
      </w:r>
      <w:r>
        <w:rPr>
          <w:rFonts w:ascii="Times New Roman" w:hAnsi="Times New Roman" w:cs="Times New Roman"/>
          <w:color w:val="008000"/>
          <w:sz w:val="28"/>
          <w:szCs w:val="28"/>
          <w:u w:val="single"/>
        </w:rPr>
        <w:t>Hotărârii Guvernului nr. 1.092/2006</w:t>
      </w:r>
      <w:r>
        <w:rPr>
          <w:rFonts w:ascii="Times New Roman" w:hAnsi="Times New Roman" w:cs="Times New Roman"/>
          <w:sz w:val="28"/>
          <w:szCs w:val="28"/>
        </w:rPr>
        <w:t xml:space="preserve"> privind protecţia lucrătorilor împotriva riscurilor legate de expunerea la agenţi biologici în muncă.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Agenţi chimici: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substanţele şi preparatele care sunt clasificate în toxice (T), foarte toxice (Tx), corozive (C) sau explozive (E), conform </w:t>
      </w:r>
      <w:r>
        <w:rPr>
          <w:rFonts w:ascii="Times New Roman" w:hAnsi="Times New Roman" w:cs="Times New Roman"/>
          <w:color w:val="008000"/>
          <w:sz w:val="28"/>
          <w:szCs w:val="28"/>
          <w:u w:val="single"/>
        </w:rPr>
        <w:t>Ordonanţei de urgenţă a Guvernului nr. 200/2000</w:t>
      </w:r>
      <w:r>
        <w:rPr>
          <w:rFonts w:ascii="Times New Roman" w:hAnsi="Times New Roman" w:cs="Times New Roman"/>
          <w:sz w:val="28"/>
          <w:szCs w:val="28"/>
        </w:rPr>
        <w:t xml:space="preserve"> privind clasificarea, etichetarea şi ambalarea substanţelor şi preparatelor chimice periculoase, aprobată cu modificări prin </w:t>
      </w:r>
      <w:r>
        <w:rPr>
          <w:rFonts w:ascii="Times New Roman" w:hAnsi="Times New Roman" w:cs="Times New Roman"/>
          <w:color w:val="008000"/>
          <w:sz w:val="28"/>
          <w:szCs w:val="28"/>
          <w:u w:val="single"/>
        </w:rPr>
        <w:t>Legea nr. 451/2001</w:t>
      </w:r>
      <w:r>
        <w:rPr>
          <w:rFonts w:ascii="Times New Roman" w:hAnsi="Times New Roman" w:cs="Times New Roman"/>
          <w:sz w:val="28"/>
          <w:szCs w:val="28"/>
        </w:rPr>
        <w:t xml:space="preserve">, cu modificările şi completările ulterioare, </w:t>
      </w:r>
      <w:r>
        <w:rPr>
          <w:rFonts w:ascii="Times New Roman" w:hAnsi="Times New Roman" w:cs="Times New Roman"/>
          <w:color w:val="008000"/>
          <w:sz w:val="28"/>
          <w:szCs w:val="28"/>
          <w:u w:val="single"/>
        </w:rPr>
        <w:t>Hotărârii Guvernului nr. 490/2002</w:t>
      </w:r>
      <w:r>
        <w:rPr>
          <w:rFonts w:ascii="Times New Roman" w:hAnsi="Times New Roman" w:cs="Times New Roman"/>
          <w:sz w:val="28"/>
          <w:szCs w:val="28"/>
        </w:rPr>
        <w:t xml:space="preserve"> pentru aprobarea Normelor de aplicare a </w:t>
      </w:r>
      <w:r>
        <w:rPr>
          <w:rFonts w:ascii="Times New Roman" w:hAnsi="Times New Roman" w:cs="Times New Roman"/>
          <w:color w:val="008000"/>
          <w:sz w:val="28"/>
          <w:szCs w:val="28"/>
          <w:u w:val="single"/>
        </w:rPr>
        <w:t>Ordonanţei de urgenţă a Guvernului nr. 200/2000</w:t>
      </w:r>
      <w:r>
        <w:rPr>
          <w:rFonts w:ascii="Times New Roman" w:hAnsi="Times New Roman" w:cs="Times New Roman"/>
          <w:sz w:val="28"/>
          <w:szCs w:val="28"/>
        </w:rPr>
        <w:t xml:space="preserve"> privind clasificarea, etichetarea şi ambalarea substanţelor şi preparatelor chimice periculoase, cu modificările şi completările ulterioare, şi </w:t>
      </w:r>
      <w:r>
        <w:rPr>
          <w:rFonts w:ascii="Times New Roman" w:hAnsi="Times New Roman" w:cs="Times New Roman"/>
          <w:color w:val="008000"/>
          <w:sz w:val="28"/>
          <w:szCs w:val="28"/>
          <w:u w:val="single"/>
        </w:rPr>
        <w:t>Hotărârii Guvernului nr. 92/2003</w:t>
      </w:r>
      <w:r>
        <w:rPr>
          <w:rFonts w:ascii="Times New Roman" w:hAnsi="Times New Roman" w:cs="Times New Roman"/>
          <w:sz w:val="28"/>
          <w:szCs w:val="28"/>
        </w:rPr>
        <w:t xml:space="preserve"> pentru aprobarea Normelor metodologice privind clasificarea, etichetarea şi ambalarea preparatelor chimice periculoase;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substanţele şi preparatele care se clasifică în nocive, conform prevederilor actelor normative prevăzute la lit. a), şi comportă următoarele riscuri: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determina efecte ireversibile foarte grave (R39);</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determina efecte ireversibile (R40);</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antrena o sensibilizare prin inhalare (R42);</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antrena o sensibilizare prin contact cu pielea (R43);</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cauza cancer (R45);</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cauza modificări genetice ereditare (R46);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avea efecte grave pentru sănătate în caz de expunere prelungită (R48);</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reduce fertilitatea (R60);</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determina apariţia, pe durata gravidităţii, a unor efecte nocive pentru copil (R61);</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substanţele şi preparatele, conform prevederilor actelor normative prevăzute la lit. a), care se clasifică în iritante (Xi) şi comportă unul sau mai multe din următoarele forme de risc:</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sunt inflamabile (R12);</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pot antrena o sensibilizare prin inhalare (R42);</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 antrena o sensibilizare prin contact cu pielea (R43);</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substanţele şi preparatele prevăzute de </w:t>
      </w:r>
      <w:r>
        <w:rPr>
          <w:rFonts w:ascii="Times New Roman" w:hAnsi="Times New Roman" w:cs="Times New Roman"/>
          <w:color w:val="008000"/>
          <w:sz w:val="28"/>
          <w:szCs w:val="28"/>
          <w:u w:val="single"/>
        </w:rPr>
        <w:t>Hotărârea Guvernului nr. 1.093/2006</w:t>
      </w:r>
      <w:r>
        <w:rPr>
          <w:rFonts w:ascii="Times New Roman" w:hAnsi="Times New Roman" w:cs="Times New Roman"/>
          <w:sz w:val="28"/>
          <w:szCs w:val="28"/>
        </w:rPr>
        <w:t xml:space="preserve"> privind stabilirea cerinţelor minime de securitate şi sănătate pentru protecţia lucrătorilor împotriva riscurilor legate de expunerea la agenţi cancerigeni sau mutageni la locul de muncă;</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plumbul şi compuşii săi, în măsura în care agenţii respectivi pot să fie absorbiţi de organismul uman;</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azbestul.</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Procedee şi activităţi: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procedeele şi activităţile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Hotărârea Guvernului nr. 1.093/2006;</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activităţi de fabricaţie şi de manipulare a dispozitivelor, artificiilor sau diverselor obiecte care conţin explozivi;</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activităţi din menajeriile de animale feroce şi veninoase;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activităţi de sacrificare industrială a animalelor;</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activităţi care presupun manipularea aparatelor de producere, de înmagazinare sau de folosire a gazelor comprimate, lichefiate sau dizolvate;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activităţi care presupun folosirea cuvelor, bazinelor, rezervoarelor, recipientelor sau canistrelor care conţin agenţii chimici prevăzuţi la pct. I.3;</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activităţi care comportă risc de prăbuşire, surpare, cădere de la înălţime;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activităţi care comportă riscuri electrice de înaltă tensiune;</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activităţi al căror ritm este condiţionat de maşini şi care sunt remunerate în funcţie de rezultat.</w:t>
      </w:r>
    </w:p>
    <w:p w:rsidR="00C95B08" w:rsidRDefault="00C95B08" w:rsidP="00C95B08">
      <w:pPr>
        <w:autoSpaceDE w:val="0"/>
        <w:autoSpaceDN w:val="0"/>
        <w:adjustRightInd w:val="0"/>
        <w:spacing w:after="0" w:line="240" w:lineRule="auto"/>
        <w:rPr>
          <w:rFonts w:ascii="Times New Roman" w:hAnsi="Times New Roman" w:cs="Times New Roman"/>
          <w:sz w:val="28"/>
          <w:szCs w:val="28"/>
        </w:rPr>
      </w:pPr>
    </w:p>
    <w:p w:rsidR="00D9527A" w:rsidRDefault="00C95B08" w:rsidP="00C95B08">
      <w:r>
        <w:rPr>
          <w:rFonts w:ascii="Times New Roman" w:hAnsi="Times New Roman" w:cs="Times New Roman"/>
          <w:sz w:val="28"/>
          <w:szCs w:val="28"/>
        </w:rPr>
        <w:t xml:space="preserve">                              ---------------</w:t>
      </w:r>
    </w:p>
    <w:sectPr w:rsidR="00D95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08"/>
    <w:rsid w:val="00C95B08"/>
    <w:rsid w:val="00D9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2020-06-04T06:21:00Z</dcterms:created>
  <dcterms:modified xsi:type="dcterms:W3CDTF">2020-06-04T06:22:00Z</dcterms:modified>
</cp:coreProperties>
</file>